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ADCB83" w14:textId="7E544B04" w:rsidR="00484ECD" w:rsidRPr="009D1728" w:rsidRDefault="00484ECD" w:rsidP="00484ECD">
      <w:pPr>
        <w:jc w:val="both"/>
        <w:rPr>
          <w:rFonts w:cs="Times New Roman"/>
          <w:b/>
          <w:bCs/>
          <w:sz w:val="22"/>
          <w:szCs w:val="22"/>
        </w:rPr>
      </w:pPr>
      <w:r w:rsidRPr="009D1728">
        <w:rPr>
          <w:rFonts w:cs="Times New Roman"/>
          <w:b/>
          <w:bCs/>
          <w:sz w:val="22"/>
          <w:szCs w:val="22"/>
        </w:rPr>
        <w:t>WYMA</w:t>
      </w:r>
      <w:r w:rsidR="005F0AA8">
        <w:rPr>
          <w:rFonts w:cs="Times New Roman"/>
          <w:b/>
          <w:bCs/>
          <w:sz w:val="22"/>
          <w:szCs w:val="22"/>
        </w:rPr>
        <w:t>GA</w:t>
      </w:r>
      <w:r w:rsidRPr="009D1728">
        <w:rPr>
          <w:rFonts w:cs="Times New Roman"/>
          <w:b/>
          <w:bCs/>
          <w:sz w:val="22"/>
          <w:szCs w:val="22"/>
        </w:rPr>
        <w:t>NIA FUNKCJONALNE – OPROGRAMO</w:t>
      </w:r>
      <w:r w:rsidR="00B76D10">
        <w:rPr>
          <w:rFonts w:cs="Times New Roman"/>
          <w:b/>
          <w:bCs/>
          <w:sz w:val="22"/>
          <w:szCs w:val="22"/>
        </w:rPr>
        <w:t>W</w:t>
      </w:r>
      <w:r w:rsidRPr="009D1728">
        <w:rPr>
          <w:rFonts w:cs="Times New Roman"/>
          <w:b/>
          <w:bCs/>
          <w:sz w:val="22"/>
          <w:szCs w:val="22"/>
        </w:rPr>
        <w:t>ANI</w:t>
      </w:r>
      <w:r>
        <w:rPr>
          <w:rFonts w:cs="Times New Roman"/>
          <w:b/>
          <w:bCs/>
          <w:sz w:val="22"/>
          <w:szCs w:val="22"/>
        </w:rPr>
        <w:t>E</w:t>
      </w:r>
      <w:r w:rsidRPr="009D1728">
        <w:rPr>
          <w:rFonts w:cs="Times New Roman"/>
          <w:b/>
          <w:bCs/>
          <w:sz w:val="22"/>
          <w:szCs w:val="22"/>
        </w:rPr>
        <w:t xml:space="preserve"> DO PATOMORFOLOGII:</w:t>
      </w:r>
    </w:p>
    <w:bookmarkStart w:id="0" w:name="_GoBack" w:displacedByCustomXml="next"/>
    <w:sdt>
      <w:sdtPr>
        <w:rPr>
          <w:rFonts w:eastAsiaTheme="minorHAnsi" w:cs="Times New Roman"/>
          <w:color w:val="auto"/>
          <w:kern w:val="2"/>
          <w:sz w:val="22"/>
          <w:szCs w:val="22"/>
          <w:lang w:eastAsia="en-US"/>
          <w14:ligatures w14:val="standardContextual"/>
        </w:rPr>
        <w:id w:val="-1788350956"/>
        <w:docPartObj>
          <w:docPartGallery w:val="Table of Contents"/>
          <w:docPartUnique/>
        </w:docPartObj>
      </w:sdtPr>
      <w:sdtEndPr>
        <w:rPr>
          <w:b/>
          <w:bCs/>
        </w:rPr>
      </w:sdtEndPr>
      <w:sdtContent>
        <w:p w14:paraId="1A09B6AF" w14:textId="2BB7F162" w:rsidR="00344018" w:rsidRPr="005F0AA8" w:rsidRDefault="00344018" w:rsidP="009414A0">
          <w:pPr>
            <w:pStyle w:val="Nagwekspisutreci"/>
            <w:jc w:val="both"/>
            <w:rPr>
              <w:rFonts w:cs="Times New Roman"/>
              <w:color w:val="auto"/>
              <w:sz w:val="22"/>
              <w:szCs w:val="22"/>
            </w:rPr>
          </w:pPr>
          <w:r w:rsidRPr="005F0AA8">
            <w:rPr>
              <w:rFonts w:cs="Times New Roman"/>
              <w:color w:val="auto"/>
              <w:sz w:val="22"/>
              <w:szCs w:val="22"/>
            </w:rPr>
            <w:t>Spis treści</w:t>
          </w:r>
        </w:p>
        <w:p w14:paraId="0D6F6C54" w14:textId="77777777" w:rsidR="0006659A" w:rsidRPr="005F0AA8" w:rsidRDefault="0006659A" w:rsidP="0006659A">
          <w:pPr>
            <w:rPr>
              <w:rFonts w:cs="Times New Roman"/>
              <w:sz w:val="22"/>
              <w:szCs w:val="22"/>
              <w:lang w:eastAsia="pl-PL"/>
            </w:rPr>
          </w:pPr>
        </w:p>
        <w:p w14:paraId="26C30098" w14:textId="34F82224" w:rsidR="00434133" w:rsidRPr="005F0AA8" w:rsidRDefault="00344018">
          <w:pPr>
            <w:pStyle w:val="Spistreci1"/>
            <w:rPr>
              <w:rFonts w:asciiTheme="minorHAnsi" w:eastAsiaTheme="minorEastAsia" w:hAnsiTheme="minorHAnsi"/>
              <w:noProof/>
              <w:lang w:eastAsia="pl-PL"/>
            </w:rPr>
          </w:pPr>
          <w:r w:rsidRPr="005F0AA8">
            <w:rPr>
              <w:rFonts w:cs="Times New Roman"/>
              <w:sz w:val="22"/>
              <w:szCs w:val="22"/>
            </w:rPr>
            <w:fldChar w:fldCharType="begin"/>
          </w:r>
          <w:r w:rsidRPr="005F0AA8">
            <w:rPr>
              <w:rFonts w:cs="Times New Roman"/>
              <w:sz w:val="22"/>
              <w:szCs w:val="22"/>
            </w:rPr>
            <w:instrText xml:space="preserve"> TOC \o "1-3" \h \z \u </w:instrText>
          </w:r>
          <w:r w:rsidRPr="005F0AA8">
            <w:rPr>
              <w:rFonts w:cs="Times New Roman"/>
              <w:sz w:val="22"/>
              <w:szCs w:val="22"/>
            </w:rPr>
            <w:fldChar w:fldCharType="separate"/>
          </w:r>
          <w:hyperlink w:anchor="_Toc194396356" w:history="1">
            <w:r w:rsidR="00434133" w:rsidRPr="005F0AA8">
              <w:rPr>
                <w:rStyle w:val="Hipercze"/>
                <w:rFonts w:cs="Times New Roman"/>
                <w:bCs/>
                <w:noProof/>
                <w:color w:val="auto"/>
              </w:rPr>
              <w:t>1.</w:t>
            </w:r>
            <w:r w:rsidR="00434133" w:rsidRPr="005F0AA8">
              <w:rPr>
                <w:rFonts w:asciiTheme="minorHAnsi" w:eastAsiaTheme="minorEastAsia" w:hAnsiTheme="minorHAnsi"/>
                <w:noProof/>
                <w:lang w:eastAsia="pl-PL"/>
              </w:rPr>
              <w:tab/>
            </w:r>
            <w:r w:rsidR="00434133" w:rsidRPr="005F0AA8">
              <w:rPr>
                <w:rStyle w:val="Hipercze"/>
                <w:rFonts w:cs="Times New Roman"/>
                <w:noProof/>
                <w:color w:val="auto"/>
              </w:rPr>
              <w:t>Moduł obsługi Patomorfologii – wymagania ogólne</w:t>
            </w:r>
            <w:r w:rsidR="00434133" w:rsidRPr="005F0AA8">
              <w:rPr>
                <w:noProof/>
                <w:webHidden/>
              </w:rPr>
              <w:tab/>
            </w:r>
            <w:r w:rsidR="00434133" w:rsidRPr="005F0AA8">
              <w:rPr>
                <w:noProof/>
                <w:webHidden/>
              </w:rPr>
              <w:fldChar w:fldCharType="begin"/>
            </w:r>
            <w:r w:rsidR="00434133" w:rsidRPr="005F0AA8">
              <w:rPr>
                <w:noProof/>
                <w:webHidden/>
              </w:rPr>
              <w:instrText xml:space="preserve"> PAGEREF _Toc194396356 \h </w:instrText>
            </w:r>
            <w:r w:rsidR="00434133" w:rsidRPr="005F0AA8">
              <w:rPr>
                <w:noProof/>
                <w:webHidden/>
              </w:rPr>
            </w:r>
            <w:r w:rsidR="00434133" w:rsidRPr="005F0AA8">
              <w:rPr>
                <w:noProof/>
                <w:webHidden/>
              </w:rPr>
              <w:fldChar w:fldCharType="separate"/>
            </w:r>
            <w:r w:rsidR="00434133" w:rsidRPr="005F0AA8">
              <w:rPr>
                <w:noProof/>
                <w:webHidden/>
              </w:rPr>
              <w:t>2</w:t>
            </w:r>
            <w:r w:rsidR="00434133" w:rsidRPr="005F0AA8">
              <w:rPr>
                <w:noProof/>
                <w:webHidden/>
              </w:rPr>
              <w:fldChar w:fldCharType="end"/>
            </w:r>
          </w:hyperlink>
        </w:p>
        <w:p w14:paraId="21FA8ACE" w14:textId="69CBBCFA" w:rsidR="00434133" w:rsidRPr="005F0AA8" w:rsidRDefault="00DB6C46">
          <w:pPr>
            <w:pStyle w:val="Spistreci1"/>
            <w:rPr>
              <w:rFonts w:asciiTheme="minorHAnsi" w:eastAsiaTheme="minorEastAsia" w:hAnsiTheme="minorHAnsi"/>
              <w:noProof/>
              <w:lang w:eastAsia="pl-PL"/>
            </w:rPr>
          </w:pPr>
          <w:hyperlink w:anchor="_Toc194396357" w:history="1">
            <w:r w:rsidR="00434133" w:rsidRPr="005F0AA8">
              <w:rPr>
                <w:rStyle w:val="Hipercze"/>
                <w:rFonts w:cs="Times New Roman"/>
                <w:bCs/>
                <w:noProof/>
                <w:color w:val="auto"/>
              </w:rPr>
              <w:t>2.</w:t>
            </w:r>
            <w:r w:rsidR="00434133" w:rsidRPr="005F0AA8">
              <w:rPr>
                <w:rFonts w:asciiTheme="minorHAnsi" w:eastAsiaTheme="minorEastAsia" w:hAnsiTheme="minorHAnsi"/>
                <w:noProof/>
                <w:lang w:eastAsia="pl-PL"/>
              </w:rPr>
              <w:tab/>
            </w:r>
            <w:r w:rsidR="00434133" w:rsidRPr="005F0AA8">
              <w:rPr>
                <w:rStyle w:val="Hipercze"/>
                <w:rFonts w:cs="Times New Roman"/>
                <w:noProof/>
                <w:color w:val="auto"/>
              </w:rPr>
              <w:t>Wyszukiwanie</w:t>
            </w:r>
            <w:r w:rsidR="00434133" w:rsidRPr="005F0AA8">
              <w:rPr>
                <w:noProof/>
                <w:webHidden/>
              </w:rPr>
              <w:tab/>
            </w:r>
            <w:r w:rsidR="00434133" w:rsidRPr="005F0AA8">
              <w:rPr>
                <w:noProof/>
                <w:webHidden/>
              </w:rPr>
              <w:fldChar w:fldCharType="begin"/>
            </w:r>
            <w:r w:rsidR="00434133" w:rsidRPr="005F0AA8">
              <w:rPr>
                <w:noProof/>
                <w:webHidden/>
              </w:rPr>
              <w:instrText xml:space="preserve"> PAGEREF _Toc194396357 \h </w:instrText>
            </w:r>
            <w:r w:rsidR="00434133" w:rsidRPr="005F0AA8">
              <w:rPr>
                <w:noProof/>
                <w:webHidden/>
              </w:rPr>
            </w:r>
            <w:r w:rsidR="00434133" w:rsidRPr="005F0AA8">
              <w:rPr>
                <w:noProof/>
                <w:webHidden/>
              </w:rPr>
              <w:fldChar w:fldCharType="separate"/>
            </w:r>
            <w:r w:rsidR="00434133" w:rsidRPr="005F0AA8">
              <w:rPr>
                <w:noProof/>
                <w:webHidden/>
              </w:rPr>
              <w:t>3</w:t>
            </w:r>
            <w:r w:rsidR="00434133" w:rsidRPr="005F0AA8">
              <w:rPr>
                <w:noProof/>
                <w:webHidden/>
              </w:rPr>
              <w:fldChar w:fldCharType="end"/>
            </w:r>
          </w:hyperlink>
        </w:p>
        <w:p w14:paraId="23ABD488" w14:textId="5343207E" w:rsidR="00434133" w:rsidRPr="005F0AA8" w:rsidRDefault="00DB6C46">
          <w:pPr>
            <w:pStyle w:val="Spistreci1"/>
            <w:rPr>
              <w:rFonts w:asciiTheme="minorHAnsi" w:eastAsiaTheme="minorEastAsia" w:hAnsiTheme="minorHAnsi"/>
              <w:noProof/>
              <w:lang w:eastAsia="pl-PL"/>
            </w:rPr>
          </w:pPr>
          <w:hyperlink w:anchor="_Toc194396358" w:history="1">
            <w:r w:rsidR="00434133" w:rsidRPr="005F0AA8">
              <w:rPr>
                <w:rStyle w:val="Hipercze"/>
                <w:rFonts w:cs="Times New Roman"/>
                <w:bCs/>
                <w:noProof/>
                <w:color w:val="auto"/>
              </w:rPr>
              <w:t>3.</w:t>
            </w:r>
            <w:r w:rsidR="00434133" w:rsidRPr="005F0AA8">
              <w:rPr>
                <w:rFonts w:asciiTheme="minorHAnsi" w:eastAsiaTheme="minorEastAsia" w:hAnsiTheme="minorHAnsi"/>
                <w:noProof/>
                <w:lang w:eastAsia="pl-PL"/>
              </w:rPr>
              <w:tab/>
            </w:r>
            <w:r w:rsidR="00434133" w:rsidRPr="005F0AA8">
              <w:rPr>
                <w:rStyle w:val="Hipercze"/>
                <w:rFonts w:cs="Times New Roman"/>
                <w:noProof/>
                <w:color w:val="auto"/>
              </w:rPr>
              <w:t>Obsługa badań</w:t>
            </w:r>
            <w:r w:rsidR="00434133" w:rsidRPr="005F0AA8">
              <w:rPr>
                <w:noProof/>
                <w:webHidden/>
              </w:rPr>
              <w:tab/>
            </w:r>
            <w:r w:rsidR="00434133" w:rsidRPr="005F0AA8">
              <w:rPr>
                <w:noProof/>
                <w:webHidden/>
              </w:rPr>
              <w:fldChar w:fldCharType="begin"/>
            </w:r>
            <w:r w:rsidR="00434133" w:rsidRPr="005F0AA8">
              <w:rPr>
                <w:noProof/>
                <w:webHidden/>
              </w:rPr>
              <w:instrText xml:space="preserve"> PAGEREF _Toc194396358 \h </w:instrText>
            </w:r>
            <w:r w:rsidR="00434133" w:rsidRPr="005F0AA8">
              <w:rPr>
                <w:noProof/>
                <w:webHidden/>
              </w:rPr>
            </w:r>
            <w:r w:rsidR="00434133" w:rsidRPr="005F0AA8">
              <w:rPr>
                <w:noProof/>
                <w:webHidden/>
              </w:rPr>
              <w:fldChar w:fldCharType="separate"/>
            </w:r>
            <w:r w:rsidR="00434133" w:rsidRPr="005F0AA8">
              <w:rPr>
                <w:noProof/>
                <w:webHidden/>
              </w:rPr>
              <w:t>4</w:t>
            </w:r>
            <w:r w:rsidR="00434133" w:rsidRPr="005F0AA8">
              <w:rPr>
                <w:noProof/>
                <w:webHidden/>
              </w:rPr>
              <w:fldChar w:fldCharType="end"/>
            </w:r>
          </w:hyperlink>
        </w:p>
        <w:p w14:paraId="12053B21" w14:textId="566884B5" w:rsidR="00434133" w:rsidRPr="005F0AA8" w:rsidRDefault="00DB6C46">
          <w:pPr>
            <w:pStyle w:val="Spistreci1"/>
            <w:rPr>
              <w:rFonts w:asciiTheme="minorHAnsi" w:eastAsiaTheme="minorEastAsia" w:hAnsiTheme="minorHAnsi"/>
              <w:noProof/>
              <w:lang w:eastAsia="pl-PL"/>
            </w:rPr>
          </w:pPr>
          <w:hyperlink w:anchor="_Toc194396359" w:history="1">
            <w:r w:rsidR="00434133" w:rsidRPr="005F0AA8">
              <w:rPr>
                <w:rStyle w:val="Hipercze"/>
                <w:rFonts w:cs="Times New Roman"/>
                <w:bCs/>
                <w:noProof/>
                <w:color w:val="auto"/>
              </w:rPr>
              <w:t>4.</w:t>
            </w:r>
            <w:r w:rsidR="00434133" w:rsidRPr="005F0AA8">
              <w:rPr>
                <w:rFonts w:asciiTheme="minorHAnsi" w:eastAsiaTheme="minorEastAsia" w:hAnsiTheme="minorHAnsi"/>
                <w:noProof/>
                <w:lang w:eastAsia="pl-PL"/>
              </w:rPr>
              <w:tab/>
            </w:r>
            <w:r w:rsidR="00434133" w:rsidRPr="005F0AA8">
              <w:rPr>
                <w:rStyle w:val="Hipercze"/>
                <w:rFonts w:cs="Times New Roman"/>
                <w:noProof/>
                <w:color w:val="auto"/>
              </w:rPr>
              <w:t>Kontrola jakości, terminowość badań i zdarzenia niepożądane</w:t>
            </w:r>
            <w:r w:rsidR="00434133" w:rsidRPr="005F0AA8">
              <w:rPr>
                <w:noProof/>
                <w:webHidden/>
              </w:rPr>
              <w:tab/>
            </w:r>
            <w:r w:rsidR="00434133" w:rsidRPr="005F0AA8">
              <w:rPr>
                <w:noProof/>
                <w:webHidden/>
              </w:rPr>
              <w:fldChar w:fldCharType="begin"/>
            </w:r>
            <w:r w:rsidR="00434133" w:rsidRPr="005F0AA8">
              <w:rPr>
                <w:noProof/>
                <w:webHidden/>
              </w:rPr>
              <w:instrText xml:space="preserve"> PAGEREF _Toc194396359 \h </w:instrText>
            </w:r>
            <w:r w:rsidR="00434133" w:rsidRPr="005F0AA8">
              <w:rPr>
                <w:noProof/>
                <w:webHidden/>
              </w:rPr>
            </w:r>
            <w:r w:rsidR="00434133" w:rsidRPr="005F0AA8">
              <w:rPr>
                <w:noProof/>
                <w:webHidden/>
              </w:rPr>
              <w:fldChar w:fldCharType="separate"/>
            </w:r>
            <w:r w:rsidR="00434133" w:rsidRPr="005F0AA8">
              <w:rPr>
                <w:noProof/>
                <w:webHidden/>
              </w:rPr>
              <w:t>5</w:t>
            </w:r>
            <w:r w:rsidR="00434133" w:rsidRPr="005F0AA8">
              <w:rPr>
                <w:noProof/>
                <w:webHidden/>
              </w:rPr>
              <w:fldChar w:fldCharType="end"/>
            </w:r>
          </w:hyperlink>
        </w:p>
        <w:p w14:paraId="6DBA0CAB" w14:textId="1E3840E3" w:rsidR="00434133" w:rsidRPr="005F0AA8" w:rsidRDefault="00DB6C46">
          <w:pPr>
            <w:pStyle w:val="Spistreci1"/>
            <w:rPr>
              <w:rFonts w:asciiTheme="minorHAnsi" w:eastAsiaTheme="minorEastAsia" w:hAnsiTheme="minorHAnsi"/>
              <w:noProof/>
              <w:lang w:eastAsia="pl-PL"/>
            </w:rPr>
          </w:pPr>
          <w:hyperlink w:anchor="_Toc194396360" w:history="1">
            <w:r w:rsidR="00434133" w:rsidRPr="005F0AA8">
              <w:rPr>
                <w:rStyle w:val="Hipercze"/>
                <w:rFonts w:cs="Times New Roman"/>
                <w:bCs/>
                <w:noProof/>
                <w:color w:val="auto"/>
              </w:rPr>
              <w:t>5.</w:t>
            </w:r>
            <w:r w:rsidR="00434133" w:rsidRPr="005F0AA8">
              <w:rPr>
                <w:rFonts w:asciiTheme="minorHAnsi" w:eastAsiaTheme="minorEastAsia" w:hAnsiTheme="minorHAnsi"/>
                <w:noProof/>
                <w:lang w:eastAsia="pl-PL"/>
              </w:rPr>
              <w:tab/>
            </w:r>
            <w:r w:rsidR="00434133" w:rsidRPr="005F0AA8">
              <w:rPr>
                <w:rStyle w:val="Hipercze"/>
                <w:rFonts w:cs="Times New Roman"/>
                <w:noProof/>
                <w:color w:val="auto"/>
              </w:rPr>
              <w:t>Obsługa stanowisk z dedykowanymi ekranami stanowiskowymi do współpracy z czytnikami kodów</w:t>
            </w:r>
            <w:r w:rsidR="00434133" w:rsidRPr="005F0AA8">
              <w:rPr>
                <w:noProof/>
                <w:webHidden/>
              </w:rPr>
              <w:tab/>
            </w:r>
            <w:r w:rsidR="00434133" w:rsidRPr="005F0AA8">
              <w:rPr>
                <w:noProof/>
                <w:webHidden/>
              </w:rPr>
              <w:fldChar w:fldCharType="begin"/>
            </w:r>
            <w:r w:rsidR="00434133" w:rsidRPr="005F0AA8">
              <w:rPr>
                <w:noProof/>
                <w:webHidden/>
              </w:rPr>
              <w:instrText xml:space="preserve"> PAGEREF _Toc194396360 \h </w:instrText>
            </w:r>
            <w:r w:rsidR="00434133" w:rsidRPr="005F0AA8">
              <w:rPr>
                <w:noProof/>
                <w:webHidden/>
              </w:rPr>
            </w:r>
            <w:r w:rsidR="00434133" w:rsidRPr="005F0AA8">
              <w:rPr>
                <w:noProof/>
                <w:webHidden/>
              </w:rPr>
              <w:fldChar w:fldCharType="separate"/>
            </w:r>
            <w:r w:rsidR="00434133" w:rsidRPr="005F0AA8">
              <w:rPr>
                <w:noProof/>
                <w:webHidden/>
              </w:rPr>
              <w:t>8</w:t>
            </w:r>
            <w:r w:rsidR="00434133" w:rsidRPr="005F0AA8">
              <w:rPr>
                <w:noProof/>
                <w:webHidden/>
              </w:rPr>
              <w:fldChar w:fldCharType="end"/>
            </w:r>
          </w:hyperlink>
        </w:p>
        <w:p w14:paraId="1584F85B" w14:textId="622C23C1" w:rsidR="00434133" w:rsidRPr="005F0AA8" w:rsidRDefault="00DB6C46">
          <w:pPr>
            <w:pStyle w:val="Spistreci1"/>
            <w:rPr>
              <w:rFonts w:asciiTheme="minorHAnsi" w:eastAsiaTheme="minorEastAsia" w:hAnsiTheme="minorHAnsi"/>
              <w:noProof/>
              <w:lang w:eastAsia="pl-PL"/>
            </w:rPr>
          </w:pPr>
          <w:hyperlink w:anchor="_Toc194396361" w:history="1">
            <w:r w:rsidR="00434133" w:rsidRPr="005F0AA8">
              <w:rPr>
                <w:rStyle w:val="Hipercze"/>
                <w:rFonts w:cs="Times New Roman"/>
                <w:bCs/>
                <w:noProof/>
                <w:color w:val="auto"/>
              </w:rPr>
              <w:t>6.</w:t>
            </w:r>
            <w:r w:rsidR="00434133" w:rsidRPr="005F0AA8">
              <w:rPr>
                <w:rFonts w:asciiTheme="minorHAnsi" w:eastAsiaTheme="minorEastAsia" w:hAnsiTheme="minorHAnsi"/>
                <w:noProof/>
                <w:lang w:eastAsia="pl-PL"/>
              </w:rPr>
              <w:tab/>
            </w:r>
            <w:r w:rsidR="00434133" w:rsidRPr="005F0AA8">
              <w:rPr>
                <w:rStyle w:val="Hipercze"/>
                <w:rFonts w:cs="Times New Roman"/>
                <w:noProof/>
                <w:color w:val="auto"/>
              </w:rPr>
              <w:t>Śledzenie przypadku</w:t>
            </w:r>
            <w:r w:rsidR="00434133" w:rsidRPr="005F0AA8">
              <w:rPr>
                <w:noProof/>
                <w:webHidden/>
              </w:rPr>
              <w:tab/>
            </w:r>
            <w:r w:rsidR="00434133" w:rsidRPr="005F0AA8">
              <w:rPr>
                <w:noProof/>
                <w:webHidden/>
              </w:rPr>
              <w:fldChar w:fldCharType="begin"/>
            </w:r>
            <w:r w:rsidR="00434133" w:rsidRPr="005F0AA8">
              <w:rPr>
                <w:noProof/>
                <w:webHidden/>
              </w:rPr>
              <w:instrText xml:space="preserve"> PAGEREF _Toc194396361 \h </w:instrText>
            </w:r>
            <w:r w:rsidR="00434133" w:rsidRPr="005F0AA8">
              <w:rPr>
                <w:noProof/>
                <w:webHidden/>
              </w:rPr>
            </w:r>
            <w:r w:rsidR="00434133" w:rsidRPr="005F0AA8">
              <w:rPr>
                <w:noProof/>
                <w:webHidden/>
              </w:rPr>
              <w:fldChar w:fldCharType="separate"/>
            </w:r>
            <w:r w:rsidR="00434133" w:rsidRPr="005F0AA8">
              <w:rPr>
                <w:noProof/>
                <w:webHidden/>
              </w:rPr>
              <w:t>15</w:t>
            </w:r>
            <w:r w:rsidR="00434133" w:rsidRPr="005F0AA8">
              <w:rPr>
                <w:noProof/>
                <w:webHidden/>
              </w:rPr>
              <w:fldChar w:fldCharType="end"/>
            </w:r>
          </w:hyperlink>
        </w:p>
        <w:p w14:paraId="293874D4" w14:textId="4A6F0D95" w:rsidR="00434133" w:rsidRPr="005F0AA8" w:rsidRDefault="00DB6C46">
          <w:pPr>
            <w:pStyle w:val="Spistreci1"/>
            <w:rPr>
              <w:rFonts w:asciiTheme="minorHAnsi" w:eastAsiaTheme="minorEastAsia" w:hAnsiTheme="minorHAnsi"/>
              <w:noProof/>
              <w:lang w:eastAsia="pl-PL"/>
            </w:rPr>
          </w:pPr>
          <w:hyperlink w:anchor="_Toc194396362" w:history="1">
            <w:r w:rsidR="00434133" w:rsidRPr="005F0AA8">
              <w:rPr>
                <w:rStyle w:val="Hipercze"/>
                <w:rFonts w:cs="Times New Roman"/>
                <w:bCs/>
                <w:noProof/>
                <w:color w:val="auto"/>
              </w:rPr>
              <w:t>7.</w:t>
            </w:r>
            <w:r w:rsidR="00434133" w:rsidRPr="005F0AA8">
              <w:rPr>
                <w:rFonts w:asciiTheme="minorHAnsi" w:eastAsiaTheme="minorEastAsia" w:hAnsiTheme="minorHAnsi"/>
                <w:noProof/>
                <w:lang w:eastAsia="pl-PL"/>
              </w:rPr>
              <w:tab/>
            </w:r>
            <w:r w:rsidR="00434133" w:rsidRPr="005F0AA8">
              <w:rPr>
                <w:rStyle w:val="Hipercze"/>
                <w:rFonts w:cs="Times New Roman"/>
                <w:noProof/>
                <w:color w:val="auto"/>
              </w:rPr>
              <w:t>Zlecenia wewnętrzne (między jednostkami organizacyjnymi)</w:t>
            </w:r>
            <w:r w:rsidR="00434133" w:rsidRPr="005F0AA8">
              <w:rPr>
                <w:noProof/>
                <w:webHidden/>
              </w:rPr>
              <w:tab/>
            </w:r>
            <w:r w:rsidR="00434133" w:rsidRPr="005F0AA8">
              <w:rPr>
                <w:noProof/>
                <w:webHidden/>
              </w:rPr>
              <w:fldChar w:fldCharType="begin"/>
            </w:r>
            <w:r w:rsidR="00434133" w:rsidRPr="005F0AA8">
              <w:rPr>
                <w:noProof/>
                <w:webHidden/>
              </w:rPr>
              <w:instrText xml:space="preserve"> PAGEREF _Toc194396362 \h </w:instrText>
            </w:r>
            <w:r w:rsidR="00434133" w:rsidRPr="005F0AA8">
              <w:rPr>
                <w:noProof/>
                <w:webHidden/>
              </w:rPr>
            </w:r>
            <w:r w:rsidR="00434133" w:rsidRPr="005F0AA8">
              <w:rPr>
                <w:noProof/>
                <w:webHidden/>
              </w:rPr>
              <w:fldChar w:fldCharType="separate"/>
            </w:r>
            <w:r w:rsidR="00434133" w:rsidRPr="005F0AA8">
              <w:rPr>
                <w:noProof/>
                <w:webHidden/>
              </w:rPr>
              <w:t>15</w:t>
            </w:r>
            <w:r w:rsidR="00434133" w:rsidRPr="005F0AA8">
              <w:rPr>
                <w:noProof/>
                <w:webHidden/>
              </w:rPr>
              <w:fldChar w:fldCharType="end"/>
            </w:r>
          </w:hyperlink>
        </w:p>
        <w:p w14:paraId="75E6C493" w14:textId="3698C810" w:rsidR="00434133" w:rsidRPr="005F0AA8" w:rsidRDefault="00DB6C46">
          <w:pPr>
            <w:pStyle w:val="Spistreci1"/>
            <w:rPr>
              <w:rFonts w:asciiTheme="minorHAnsi" w:eastAsiaTheme="minorEastAsia" w:hAnsiTheme="minorHAnsi"/>
              <w:noProof/>
              <w:lang w:eastAsia="pl-PL"/>
            </w:rPr>
          </w:pPr>
          <w:hyperlink w:anchor="_Toc194396363" w:history="1">
            <w:r w:rsidR="00434133" w:rsidRPr="005F0AA8">
              <w:rPr>
                <w:rStyle w:val="Hipercze"/>
                <w:rFonts w:cs="Times New Roman"/>
                <w:bCs/>
                <w:noProof/>
                <w:color w:val="auto"/>
              </w:rPr>
              <w:t>8.</w:t>
            </w:r>
            <w:r w:rsidR="00434133" w:rsidRPr="005F0AA8">
              <w:rPr>
                <w:rFonts w:asciiTheme="minorHAnsi" w:eastAsiaTheme="minorEastAsia" w:hAnsiTheme="minorHAnsi"/>
                <w:noProof/>
                <w:lang w:eastAsia="pl-PL"/>
              </w:rPr>
              <w:tab/>
            </w:r>
            <w:r w:rsidR="00434133" w:rsidRPr="005F0AA8">
              <w:rPr>
                <w:rStyle w:val="Hipercze"/>
                <w:rFonts w:cs="Times New Roman"/>
                <w:noProof/>
                <w:color w:val="auto"/>
              </w:rPr>
              <w:t>Raporty i statystyki</w:t>
            </w:r>
            <w:r w:rsidR="00434133" w:rsidRPr="005F0AA8">
              <w:rPr>
                <w:noProof/>
                <w:webHidden/>
              </w:rPr>
              <w:tab/>
            </w:r>
            <w:r w:rsidR="00434133" w:rsidRPr="005F0AA8">
              <w:rPr>
                <w:noProof/>
                <w:webHidden/>
              </w:rPr>
              <w:fldChar w:fldCharType="begin"/>
            </w:r>
            <w:r w:rsidR="00434133" w:rsidRPr="005F0AA8">
              <w:rPr>
                <w:noProof/>
                <w:webHidden/>
              </w:rPr>
              <w:instrText xml:space="preserve"> PAGEREF _Toc194396363 \h </w:instrText>
            </w:r>
            <w:r w:rsidR="00434133" w:rsidRPr="005F0AA8">
              <w:rPr>
                <w:noProof/>
                <w:webHidden/>
              </w:rPr>
            </w:r>
            <w:r w:rsidR="00434133" w:rsidRPr="005F0AA8">
              <w:rPr>
                <w:noProof/>
                <w:webHidden/>
              </w:rPr>
              <w:fldChar w:fldCharType="separate"/>
            </w:r>
            <w:r w:rsidR="00434133" w:rsidRPr="005F0AA8">
              <w:rPr>
                <w:noProof/>
                <w:webHidden/>
              </w:rPr>
              <w:t>16</w:t>
            </w:r>
            <w:r w:rsidR="00434133" w:rsidRPr="005F0AA8">
              <w:rPr>
                <w:noProof/>
                <w:webHidden/>
              </w:rPr>
              <w:fldChar w:fldCharType="end"/>
            </w:r>
          </w:hyperlink>
        </w:p>
        <w:p w14:paraId="31103A42" w14:textId="3F3F914A" w:rsidR="00434133" w:rsidRPr="005F0AA8" w:rsidRDefault="00DB6C46">
          <w:pPr>
            <w:pStyle w:val="Spistreci1"/>
            <w:rPr>
              <w:rFonts w:asciiTheme="minorHAnsi" w:eastAsiaTheme="minorEastAsia" w:hAnsiTheme="minorHAnsi"/>
              <w:noProof/>
              <w:lang w:eastAsia="pl-PL"/>
            </w:rPr>
          </w:pPr>
          <w:hyperlink w:anchor="_Toc194396364" w:history="1">
            <w:r w:rsidR="00434133" w:rsidRPr="005F0AA8">
              <w:rPr>
                <w:rStyle w:val="Hipercze"/>
                <w:rFonts w:cs="Times New Roman"/>
                <w:bCs/>
                <w:noProof/>
                <w:color w:val="auto"/>
              </w:rPr>
              <w:t>9.</w:t>
            </w:r>
            <w:r w:rsidR="00434133" w:rsidRPr="005F0AA8">
              <w:rPr>
                <w:rFonts w:asciiTheme="minorHAnsi" w:eastAsiaTheme="minorEastAsia" w:hAnsiTheme="minorHAnsi"/>
                <w:noProof/>
                <w:lang w:eastAsia="pl-PL"/>
              </w:rPr>
              <w:tab/>
            </w:r>
            <w:r w:rsidR="00434133" w:rsidRPr="005F0AA8">
              <w:rPr>
                <w:rStyle w:val="Hipercze"/>
                <w:rFonts w:cs="Times New Roman"/>
                <w:noProof/>
                <w:color w:val="auto"/>
              </w:rPr>
              <w:t>Finanse</w:t>
            </w:r>
            <w:r w:rsidR="00434133" w:rsidRPr="005F0AA8">
              <w:rPr>
                <w:noProof/>
                <w:webHidden/>
              </w:rPr>
              <w:tab/>
            </w:r>
            <w:r w:rsidR="00434133" w:rsidRPr="005F0AA8">
              <w:rPr>
                <w:noProof/>
                <w:webHidden/>
              </w:rPr>
              <w:fldChar w:fldCharType="begin"/>
            </w:r>
            <w:r w:rsidR="00434133" w:rsidRPr="005F0AA8">
              <w:rPr>
                <w:noProof/>
                <w:webHidden/>
              </w:rPr>
              <w:instrText xml:space="preserve"> PAGEREF _Toc194396364 \h </w:instrText>
            </w:r>
            <w:r w:rsidR="00434133" w:rsidRPr="005F0AA8">
              <w:rPr>
                <w:noProof/>
                <w:webHidden/>
              </w:rPr>
            </w:r>
            <w:r w:rsidR="00434133" w:rsidRPr="005F0AA8">
              <w:rPr>
                <w:noProof/>
                <w:webHidden/>
              </w:rPr>
              <w:fldChar w:fldCharType="separate"/>
            </w:r>
            <w:r w:rsidR="00434133" w:rsidRPr="005F0AA8">
              <w:rPr>
                <w:noProof/>
                <w:webHidden/>
              </w:rPr>
              <w:t>22</w:t>
            </w:r>
            <w:r w:rsidR="00434133" w:rsidRPr="005F0AA8">
              <w:rPr>
                <w:noProof/>
                <w:webHidden/>
              </w:rPr>
              <w:fldChar w:fldCharType="end"/>
            </w:r>
          </w:hyperlink>
        </w:p>
        <w:p w14:paraId="5697BD62" w14:textId="1D31D791" w:rsidR="00434133" w:rsidRPr="005F0AA8" w:rsidRDefault="00DB6C46">
          <w:pPr>
            <w:pStyle w:val="Spistreci1"/>
            <w:rPr>
              <w:rFonts w:asciiTheme="minorHAnsi" w:eastAsiaTheme="minorEastAsia" w:hAnsiTheme="minorHAnsi"/>
              <w:noProof/>
              <w:lang w:eastAsia="pl-PL"/>
            </w:rPr>
          </w:pPr>
          <w:hyperlink w:anchor="_Toc194396365" w:history="1">
            <w:r w:rsidR="00434133" w:rsidRPr="005F0AA8">
              <w:rPr>
                <w:rStyle w:val="Hipercze"/>
                <w:rFonts w:cs="Times New Roman"/>
                <w:bCs/>
                <w:noProof/>
                <w:color w:val="auto"/>
              </w:rPr>
              <w:t>10.</w:t>
            </w:r>
            <w:r w:rsidR="00434133" w:rsidRPr="005F0AA8">
              <w:rPr>
                <w:rFonts w:asciiTheme="minorHAnsi" w:eastAsiaTheme="minorEastAsia" w:hAnsiTheme="minorHAnsi"/>
                <w:noProof/>
                <w:lang w:eastAsia="pl-PL"/>
              </w:rPr>
              <w:tab/>
            </w:r>
            <w:r w:rsidR="00434133" w:rsidRPr="005F0AA8">
              <w:rPr>
                <w:rStyle w:val="Hipercze"/>
                <w:rFonts w:cs="Times New Roman"/>
                <w:noProof/>
                <w:color w:val="auto"/>
              </w:rPr>
              <w:t>Prezentacja wyników badań dla podmiotów zewnętrznych (zlecających)</w:t>
            </w:r>
            <w:r w:rsidR="00434133" w:rsidRPr="005F0AA8">
              <w:rPr>
                <w:noProof/>
                <w:webHidden/>
              </w:rPr>
              <w:tab/>
            </w:r>
            <w:r w:rsidR="00434133" w:rsidRPr="005F0AA8">
              <w:rPr>
                <w:noProof/>
                <w:webHidden/>
              </w:rPr>
              <w:fldChar w:fldCharType="begin"/>
            </w:r>
            <w:r w:rsidR="00434133" w:rsidRPr="005F0AA8">
              <w:rPr>
                <w:noProof/>
                <w:webHidden/>
              </w:rPr>
              <w:instrText xml:space="preserve"> PAGEREF _Toc194396365 \h </w:instrText>
            </w:r>
            <w:r w:rsidR="00434133" w:rsidRPr="005F0AA8">
              <w:rPr>
                <w:noProof/>
                <w:webHidden/>
              </w:rPr>
            </w:r>
            <w:r w:rsidR="00434133" w:rsidRPr="005F0AA8">
              <w:rPr>
                <w:noProof/>
                <w:webHidden/>
              </w:rPr>
              <w:fldChar w:fldCharType="separate"/>
            </w:r>
            <w:r w:rsidR="00434133" w:rsidRPr="005F0AA8">
              <w:rPr>
                <w:noProof/>
                <w:webHidden/>
              </w:rPr>
              <w:t>23</w:t>
            </w:r>
            <w:r w:rsidR="00434133" w:rsidRPr="005F0AA8">
              <w:rPr>
                <w:noProof/>
                <w:webHidden/>
              </w:rPr>
              <w:fldChar w:fldCharType="end"/>
            </w:r>
          </w:hyperlink>
        </w:p>
        <w:p w14:paraId="1649366A" w14:textId="0AE70FA4" w:rsidR="00434133" w:rsidRPr="005F0AA8" w:rsidRDefault="00DB6C46">
          <w:pPr>
            <w:pStyle w:val="Spistreci1"/>
            <w:rPr>
              <w:rFonts w:asciiTheme="minorHAnsi" w:eastAsiaTheme="minorEastAsia" w:hAnsiTheme="minorHAnsi"/>
              <w:noProof/>
              <w:lang w:eastAsia="pl-PL"/>
            </w:rPr>
          </w:pPr>
          <w:hyperlink w:anchor="_Toc194396366" w:history="1">
            <w:r w:rsidR="00434133" w:rsidRPr="005F0AA8">
              <w:rPr>
                <w:rStyle w:val="Hipercze"/>
                <w:rFonts w:cs="Times New Roman"/>
                <w:bCs/>
                <w:noProof/>
                <w:color w:val="auto"/>
              </w:rPr>
              <w:t>11.</w:t>
            </w:r>
            <w:r w:rsidR="00434133" w:rsidRPr="005F0AA8">
              <w:rPr>
                <w:rFonts w:asciiTheme="minorHAnsi" w:eastAsiaTheme="minorEastAsia" w:hAnsiTheme="minorHAnsi"/>
                <w:noProof/>
                <w:lang w:eastAsia="pl-PL"/>
              </w:rPr>
              <w:tab/>
            </w:r>
            <w:r w:rsidR="00434133" w:rsidRPr="005F0AA8">
              <w:rPr>
                <w:rStyle w:val="Hipercze"/>
                <w:rFonts w:cs="Times New Roman"/>
                <w:noProof/>
                <w:color w:val="auto"/>
              </w:rPr>
              <w:t>Współpraca z urządzeniami/sprzętem laboratoryjnym</w:t>
            </w:r>
            <w:r w:rsidR="00434133" w:rsidRPr="005F0AA8">
              <w:rPr>
                <w:noProof/>
                <w:webHidden/>
              </w:rPr>
              <w:tab/>
            </w:r>
            <w:r w:rsidR="00434133" w:rsidRPr="005F0AA8">
              <w:rPr>
                <w:noProof/>
                <w:webHidden/>
              </w:rPr>
              <w:fldChar w:fldCharType="begin"/>
            </w:r>
            <w:r w:rsidR="00434133" w:rsidRPr="005F0AA8">
              <w:rPr>
                <w:noProof/>
                <w:webHidden/>
              </w:rPr>
              <w:instrText xml:space="preserve"> PAGEREF _Toc194396366 \h </w:instrText>
            </w:r>
            <w:r w:rsidR="00434133" w:rsidRPr="005F0AA8">
              <w:rPr>
                <w:noProof/>
                <w:webHidden/>
              </w:rPr>
            </w:r>
            <w:r w:rsidR="00434133" w:rsidRPr="005F0AA8">
              <w:rPr>
                <w:noProof/>
                <w:webHidden/>
              </w:rPr>
              <w:fldChar w:fldCharType="separate"/>
            </w:r>
            <w:r w:rsidR="00434133" w:rsidRPr="005F0AA8">
              <w:rPr>
                <w:noProof/>
                <w:webHidden/>
              </w:rPr>
              <w:t>23</w:t>
            </w:r>
            <w:r w:rsidR="00434133" w:rsidRPr="005F0AA8">
              <w:rPr>
                <w:noProof/>
                <w:webHidden/>
              </w:rPr>
              <w:fldChar w:fldCharType="end"/>
            </w:r>
          </w:hyperlink>
        </w:p>
        <w:p w14:paraId="01B227FA" w14:textId="11B943DF" w:rsidR="00344018" w:rsidRPr="005F0AA8" w:rsidRDefault="00344018" w:rsidP="009414A0">
          <w:pPr>
            <w:jc w:val="both"/>
            <w:rPr>
              <w:rFonts w:cs="Times New Roman"/>
              <w:sz w:val="22"/>
              <w:szCs w:val="22"/>
            </w:rPr>
          </w:pPr>
          <w:r w:rsidRPr="005F0AA8">
            <w:rPr>
              <w:rFonts w:cs="Times New Roman"/>
              <w:b/>
              <w:bCs/>
              <w:sz w:val="22"/>
              <w:szCs w:val="22"/>
            </w:rPr>
            <w:fldChar w:fldCharType="end"/>
          </w:r>
        </w:p>
      </w:sdtContent>
    </w:sdt>
    <w:p w14:paraId="1D07E201" w14:textId="5DBB899F" w:rsidR="00344018" w:rsidRPr="005F0AA8" w:rsidRDefault="00344018" w:rsidP="009414A0">
      <w:pPr>
        <w:jc w:val="both"/>
        <w:rPr>
          <w:rFonts w:cs="Times New Roman"/>
          <w:b/>
          <w:bCs/>
          <w:sz w:val="22"/>
          <w:szCs w:val="22"/>
        </w:rPr>
      </w:pPr>
      <w:r w:rsidRPr="005F0AA8">
        <w:rPr>
          <w:rFonts w:cs="Times New Roman"/>
          <w:b/>
          <w:bCs/>
          <w:sz w:val="22"/>
          <w:szCs w:val="22"/>
        </w:rPr>
        <w:br w:type="page"/>
      </w:r>
    </w:p>
    <w:p w14:paraId="52CC4FE4" w14:textId="349A639F" w:rsidR="009E4757" w:rsidRPr="005F0AA8" w:rsidRDefault="003E20E5" w:rsidP="009A6A8E">
      <w:pPr>
        <w:pStyle w:val="Nagwek1"/>
        <w:numPr>
          <w:ilvl w:val="0"/>
          <w:numId w:val="13"/>
        </w:numPr>
        <w:rPr>
          <w:rFonts w:cs="Times New Roman"/>
          <w:color w:val="auto"/>
          <w:sz w:val="22"/>
          <w:szCs w:val="22"/>
        </w:rPr>
      </w:pPr>
      <w:bookmarkStart w:id="1" w:name="_Ref171597719"/>
      <w:bookmarkStart w:id="2" w:name="_Toc194396356"/>
      <w:r w:rsidRPr="005F0AA8">
        <w:rPr>
          <w:rFonts w:cs="Times New Roman"/>
          <w:color w:val="auto"/>
          <w:sz w:val="22"/>
          <w:szCs w:val="22"/>
        </w:rPr>
        <w:lastRenderedPageBreak/>
        <w:t>Moduł obsługi Patomorfologii – wymagania ogólne</w:t>
      </w:r>
      <w:bookmarkEnd w:id="1"/>
      <w:bookmarkEnd w:id="2"/>
    </w:p>
    <w:p w14:paraId="2073EE51" w14:textId="77777777" w:rsidR="0006659A" w:rsidRPr="005F0AA8" w:rsidRDefault="0006659A" w:rsidP="0006659A">
      <w:pPr>
        <w:rPr>
          <w:rFonts w:cs="Times New Roman"/>
          <w:sz w:val="22"/>
          <w:szCs w:val="22"/>
        </w:rPr>
      </w:pPr>
    </w:p>
    <w:p w14:paraId="44975A17" w14:textId="15857C90" w:rsidR="00523F34" w:rsidRPr="005F0AA8" w:rsidRDefault="003E20E5" w:rsidP="0006659A">
      <w:pPr>
        <w:pStyle w:val="Akapitzlist"/>
        <w:numPr>
          <w:ilvl w:val="1"/>
          <w:numId w:val="13"/>
        </w:numPr>
        <w:ind w:left="426"/>
        <w:jc w:val="both"/>
        <w:rPr>
          <w:rFonts w:cs="Times New Roman"/>
          <w:sz w:val="22"/>
          <w:szCs w:val="22"/>
        </w:rPr>
      </w:pPr>
      <w:r w:rsidRPr="005F0AA8">
        <w:rPr>
          <w:rFonts w:cs="Times New Roman"/>
          <w:sz w:val="22"/>
          <w:szCs w:val="22"/>
        </w:rPr>
        <w:t>Moduł do śledzenia pełnego</w:t>
      </w:r>
      <w:r w:rsidR="00AE446A" w:rsidRPr="005F0AA8">
        <w:rPr>
          <w:rFonts w:cs="Times New Roman"/>
          <w:sz w:val="22"/>
          <w:szCs w:val="22"/>
        </w:rPr>
        <w:t xml:space="preserve"> obiegu</w:t>
      </w:r>
      <w:r w:rsidRPr="005F0AA8">
        <w:rPr>
          <w:rFonts w:cs="Times New Roman"/>
          <w:sz w:val="22"/>
          <w:szCs w:val="22"/>
        </w:rPr>
        <w:t xml:space="preserve"> próbki oraz obsługi następujących typów badań: histopatologia, badania śródoperacyjne (</w:t>
      </w:r>
      <w:proofErr w:type="spellStart"/>
      <w:r w:rsidRPr="005F0AA8">
        <w:rPr>
          <w:rFonts w:cs="Times New Roman"/>
          <w:sz w:val="22"/>
          <w:szCs w:val="22"/>
        </w:rPr>
        <w:t>introwe</w:t>
      </w:r>
      <w:proofErr w:type="spellEnd"/>
      <w:r w:rsidRPr="005F0AA8">
        <w:rPr>
          <w:rFonts w:cs="Times New Roman"/>
          <w:sz w:val="22"/>
          <w:szCs w:val="22"/>
        </w:rPr>
        <w:t xml:space="preserve">), </w:t>
      </w:r>
      <w:proofErr w:type="spellStart"/>
      <w:r w:rsidRPr="005F0AA8">
        <w:rPr>
          <w:rFonts w:cs="Times New Roman"/>
          <w:sz w:val="22"/>
          <w:szCs w:val="22"/>
        </w:rPr>
        <w:t>immunohistochemia</w:t>
      </w:r>
      <w:proofErr w:type="spellEnd"/>
      <w:r w:rsidRPr="005F0AA8">
        <w:rPr>
          <w:rFonts w:cs="Times New Roman"/>
          <w:sz w:val="22"/>
          <w:szCs w:val="22"/>
        </w:rPr>
        <w:t>, histochemia, cytologia ginekologiczna, cytologia aspiracyjna cienkoigłowa, autopsje, konsultacje, badania naukowe.</w:t>
      </w:r>
    </w:p>
    <w:p w14:paraId="1FD8C943" w14:textId="77777777" w:rsidR="00F96F2F" w:rsidRPr="005F0AA8" w:rsidRDefault="009E4757" w:rsidP="0006659A">
      <w:pPr>
        <w:pStyle w:val="Akapitzlist"/>
        <w:numPr>
          <w:ilvl w:val="1"/>
          <w:numId w:val="13"/>
        </w:numPr>
        <w:ind w:left="426"/>
        <w:jc w:val="both"/>
        <w:rPr>
          <w:rFonts w:cs="Times New Roman"/>
          <w:sz w:val="22"/>
          <w:szCs w:val="22"/>
        </w:rPr>
      </w:pPr>
      <w:r w:rsidRPr="005F0AA8">
        <w:rPr>
          <w:rFonts w:cs="Times New Roman"/>
          <w:sz w:val="22"/>
          <w:szCs w:val="22"/>
        </w:rPr>
        <w:t>System zgodny z przepisami obowiązującego prawa w Polsce w dniu wdrożenia, w szczególności:</w:t>
      </w:r>
    </w:p>
    <w:p w14:paraId="0C540F9E" w14:textId="282500AA" w:rsidR="00F96F2F" w:rsidRPr="005F0AA8" w:rsidRDefault="00622E3C" w:rsidP="00D76B9C">
      <w:pPr>
        <w:pStyle w:val="Akapitzlist"/>
        <w:numPr>
          <w:ilvl w:val="2"/>
          <w:numId w:val="13"/>
        </w:numPr>
        <w:ind w:left="993"/>
        <w:jc w:val="both"/>
        <w:rPr>
          <w:rFonts w:cs="Times New Roman"/>
          <w:sz w:val="22"/>
          <w:szCs w:val="22"/>
        </w:rPr>
      </w:pPr>
      <w:r w:rsidRPr="005F0AA8">
        <w:rPr>
          <w:rFonts w:cs="Times New Roman"/>
          <w:sz w:val="22"/>
          <w:szCs w:val="22"/>
        </w:rPr>
        <w:t>Rozporządzenie Ministra Zdrowia z dnia 18 grudnia 2017 r. (wraz z późniejszymi zmianami) w sprawie standardów organizacyjnych opieki zdrowotnej w dziedzinie patomorfologii;</w:t>
      </w:r>
    </w:p>
    <w:p w14:paraId="3E90DA4B" w14:textId="7C04E20E" w:rsidR="00F96F2F" w:rsidRPr="005F0AA8" w:rsidRDefault="00622E3C" w:rsidP="00D76B9C">
      <w:pPr>
        <w:pStyle w:val="Akapitzlist"/>
        <w:numPr>
          <w:ilvl w:val="2"/>
          <w:numId w:val="13"/>
        </w:numPr>
        <w:ind w:left="993"/>
        <w:jc w:val="both"/>
        <w:rPr>
          <w:rFonts w:cs="Times New Roman"/>
          <w:sz w:val="22"/>
          <w:szCs w:val="22"/>
        </w:rPr>
      </w:pPr>
      <w:r w:rsidRPr="005F0AA8">
        <w:rPr>
          <w:rFonts w:cs="Times New Roman"/>
          <w:sz w:val="22"/>
          <w:szCs w:val="22"/>
        </w:rPr>
        <w:t>„Standardy organizacyjne oraz standardy postępowania w patomorfologii - Wytyczne dla zakładów/pracowni patomorfologii” (Ministerstwo Zdrowia, Polskie Towarzystwo Patologów, 2020);</w:t>
      </w:r>
    </w:p>
    <w:p w14:paraId="430F94C0" w14:textId="46750A25" w:rsidR="00F96F2F" w:rsidRPr="005F0AA8" w:rsidRDefault="00622E3C" w:rsidP="00D76B9C">
      <w:pPr>
        <w:pStyle w:val="Akapitzlist"/>
        <w:numPr>
          <w:ilvl w:val="2"/>
          <w:numId w:val="13"/>
        </w:numPr>
        <w:ind w:left="993"/>
        <w:jc w:val="both"/>
        <w:rPr>
          <w:rFonts w:cs="Times New Roman"/>
          <w:sz w:val="22"/>
          <w:szCs w:val="22"/>
        </w:rPr>
      </w:pPr>
      <w:r w:rsidRPr="005F0AA8">
        <w:rPr>
          <w:rFonts w:cs="Times New Roman"/>
          <w:sz w:val="22"/>
          <w:szCs w:val="22"/>
        </w:rPr>
        <w:t>Obwieszczenie Ministra Zdrowia z dnia 24 września 2021 r. w sprawie standardów akredytacyjnych w zakresie udzielania świadczeń zdrowotnych oraz funkcjonowania jednostek diagnostyki patomorfologicznej;</w:t>
      </w:r>
    </w:p>
    <w:p w14:paraId="1BB7F6EE" w14:textId="04C51E5C" w:rsidR="00F96F2F" w:rsidRPr="005F0AA8" w:rsidRDefault="00622E3C" w:rsidP="00D76B9C">
      <w:pPr>
        <w:pStyle w:val="Akapitzlist"/>
        <w:numPr>
          <w:ilvl w:val="2"/>
          <w:numId w:val="13"/>
        </w:numPr>
        <w:ind w:left="993"/>
        <w:jc w:val="both"/>
        <w:rPr>
          <w:rFonts w:cs="Times New Roman"/>
          <w:sz w:val="22"/>
          <w:szCs w:val="22"/>
        </w:rPr>
      </w:pPr>
      <w:r w:rsidRPr="005F0AA8">
        <w:rPr>
          <w:rFonts w:cs="Times New Roman"/>
          <w:sz w:val="22"/>
          <w:szCs w:val="22"/>
        </w:rPr>
        <w:t xml:space="preserve">Ustawa o Krajowej Sieci Onkologicznej z dnia 9 marca 2023 r. – w szczególności </w:t>
      </w:r>
      <w:r w:rsidR="00CD0621" w:rsidRPr="005F0AA8">
        <w:rPr>
          <w:rFonts w:cs="Times New Roman"/>
          <w:sz w:val="22"/>
          <w:szCs w:val="22"/>
        </w:rPr>
        <w:t>w zakresie zamieszczania wyników badań histopatologicznych zgodnie z art. 52 ww. ustawy.</w:t>
      </w:r>
    </w:p>
    <w:p w14:paraId="7186B26F" w14:textId="2FBDB43B" w:rsidR="00F96F2F" w:rsidRPr="005F0AA8" w:rsidRDefault="00622E3C" w:rsidP="0006659A">
      <w:pPr>
        <w:pStyle w:val="Akapitzlist"/>
        <w:numPr>
          <w:ilvl w:val="1"/>
          <w:numId w:val="13"/>
        </w:numPr>
        <w:ind w:left="426"/>
        <w:jc w:val="both"/>
        <w:rPr>
          <w:rFonts w:cs="Times New Roman"/>
          <w:sz w:val="22"/>
          <w:szCs w:val="22"/>
        </w:rPr>
      </w:pPr>
      <w:r w:rsidRPr="005F0AA8">
        <w:rPr>
          <w:rFonts w:cs="Times New Roman"/>
          <w:sz w:val="22"/>
          <w:szCs w:val="22"/>
        </w:rPr>
        <w:t>W zakresie zgodności z przepisami prawa wymaga się także, aby oferowany system zapewniał:</w:t>
      </w:r>
    </w:p>
    <w:p w14:paraId="160FC5D0" w14:textId="79FE355B" w:rsidR="00F96F2F" w:rsidRPr="005F0AA8" w:rsidRDefault="00622E3C" w:rsidP="00D76B9C">
      <w:pPr>
        <w:pStyle w:val="Akapitzlist"/>
        <w:numPr>
          <w:ilvl w:val="2"/>
          <w:numId w:val="13"/>
        </w:numPr>
        <w:ind w:left="993"/>
        <w:jc w:val="both"/>
        <w:rPr>
          <w:rFonts w:cs="Times New Roman"/>
          <w:sz w:val="22"/>
          <w:szCs w:val="22"/>
        </w:rPr>
      </w:pPr>
      <w:r w:rsidRPr="005F0AA8">
        <w:rPr>
          <w:rFonts w:cs="Times New Roman"/>
          <w:sz w:val="22"/>
          <w:szCs w:val="22"/>
        </w:rPr>
        <w:t>elektronizację procesów opisanych w ww. dokumentach prawnych i wytycznych;</w:t>
      </w:r>
    </w:p>
    <w:p w14:paraId="58134173" w14:textId="1BA728F4" w:rsidR="00F96F2F" w:rsidRPr="005F0AA8" w:rsidRDefault="00622E3C" w:rsidP="00D76B9C">
      <w:pPr>
        <w:pStyle w:val="Akapitzlist"/>
        <w:numPr>
          <w:ilvl w:val="2"/>
          <w:numId w:val="13"/>
        </w:numPr>
        <w:ind w:left="993"/>
        <w:jc w:val="both"/>
        <w:rPr>
          <w:rFonts w:cs="Times New Roman"/>
          <w:sz w:val="22"/>
          <w:szCs w:val="22"/>
        </w:rPr>
      </w:pPr>
      <w:r w:rsidRPr="005F0AA8">
        <w:rPr>
          <w:rFonts w:cs="Times New Roman"/>
          <w:sz w:val="22"/>
          <w:szCs w:val="22"/>
        </w:rPr>
        <w:t>wyliczanie wymaganych mierników, raportów i rejestrów;</w:t>
      </w:r>
    </w:p>
    <w:p w14:paraId="69EC3EFC" w14:textId="52073AD5" w:rsidR="00622E3C" w:rsidRPr="005F0AA8" w:rsidRDefault="00622E3C" w:rsidP="00D76B9C">
      <w:pPr>
        <w:pStyle w:val="Akapitzlist"/>
        <w:numPr>
          <w:ilvl w:val="2"/>
          <w:numId w:val="13"/>
        </w:numPr>
        <w:ind w:left="993"/>
        <w:jc w:val="both"/>
        <w:rPr>
          <w:rFonts w:cs="Times New Roman"/>
          <w:sz w:val="22"/>
          <w:szCs w:val="22"/>
        </w:rPr>
      </w:pPr>
      <w:r w:rsidRPr="005F0AA8">
        <w:rPr>
          <w:rFonts w:cs="Times New Roman"/>
          <w:sz w:val="22"/>
          <w:szCs w:val="22"/>
        </w:rPr>
        <w:t>przechowywanie w bazie danych informacji w zakresie opisanym ww. dokumentami.</w:t>
      </w:r>
    </w:p>
    <w:p w14:paraId="6E0D8096" w14:textId="2F85E87D" w:rsidR="009E4757" w:rsidRPr="005F0AA8" w:rsidRDefault="009E4757" w:rsidP="0006659A">
      <w:pPr>
        <w:pStyle w:val="Akapitzlist"/>
        <w:numPr>
          <w:ilvl w:val="1"/>
          <w:numId w:val="13"/>
        </w:numPr>
        <w:ind w:left="426"/>
        <w:jc w:val="both"/>
        <w:rPr>
          <w:rFonts w:cs="Times New Roman"/>
          <w:sz w:val="22"/>
          <w:szCs w:val="22"/>
        </w:rPr>
      </w:pPr>
      <w:r w:rsidRPr="005F0AA8">
        <w:rPr>
          <w:rFonts w:cs="Times New Roman"/>
          <w:sz w:val="22"/>
          <w:szCs w:val="22"/>
        </w:rPr>
        <w:t>Rejestracja, edycja, zatwierdzanie przypadków. Minimalny zakres danych rejestrowanego przypadku zgodny z rozporządzeniem Ministra Zdrowia z dnia 18 grudnia 2017 r. (wraz z późniejszymi zmianami) w sprawie standardów organizacyjnych opieki zdrowotnej w dziedzinie patomorfologii, rozporządzeniem Ministra Zdrowia z dnia 6 kwietnia 2020 r. (wraz z późniejszymi zmianami) w sprawie rodzajów, zakresu i wzorów dokumentacji medycznej oraz sposobu jej przetwarzania oraz „Standardami organizacyjnymi oraz standardami postępowania w patomorfologii - Wytyczne dla zakładów/pracowni patomorfologii” (Ministerstwo Zdrowia, Polskie Towarzystwo Patologów, 2020).</w:t>
      </w:r>
    </w:p>
    <w:p w14:paraId="170AEA37" w14:textId="320E7C80" w:rsidR="009E4757" w:rsidRPr="005F0AA8" w:rsidRDefault="009E4757" w:rsidP="0006659A">
      <w:pPr>
        <w:pStyle w:val="Akapitzlist"/>
        <w:numPr>
          <w:ilvl w:val="1"/>
          <w:numId w:val="13"/>
        </w:numPr>
        <w:ind w:left="426"/>
        <w:jc w:val="both"/>
        <w:rPr>
          <w:rFonts w:cs="Times New Roman"/>
          <w:sz w:val="22"/>
          <w:szCs w:val="22"/>
        </w:rPr>
      </w:pPr>
      <w:r w:rsidRPr="005F0AA8">
        <w:rPr>
          <w:rFonts w:cs="Times New Roman"/>
          <w:sz w:val="22"/>
          <w:szCs w:val="22"/>
        </w:rPr>
        <w:t>System powinien umożliwiać konfigurację pracy w formie wyłącznie cyfrowej – elektroniczne skierowania, zlecenia i skany preparatów, telepraca diagnozujących z całkowitym wyeliminowaniem dokumentacji papierowej w Zakładzie.</w:t>
      </w:r>
    </w:p>
    <w:p w14:paraId="48D6AC8E" w14:textId="39B737CD" w:rsidR="009E4757" w:rsidRPr="005F0AA8" w:rsidRDefault="009E4757" w:rsidP="0006659A">
      <w:pPr>
        <w:pStyle w:val="Akapitzlist"/>
        <w:numPr>
          <w:ilvl w:val="1"/>
          <w:numId w:val="13"/>
        </w:numPr>
        <w:ind w:left="426"/>
        <w:jc w:val="both"/>
        <w:rPr>
          <w:rFonts w:cs="Times New Roman"/>
          <w:sz w:val="22"/>
          <w:szCs w:val="22"/>
        </w:rPr>
      </w:pPr>
      <w:r w:rsidRPr="005F0AA8">
        <w:rPr>
          <w:rFonts w:cs="Times New Roman"/>
          <w:sz w:val="22"/>
          <w:szCs w:val="22"/>
        </w:rPr>
        <w:t xml:space="preserve">Interfejs użytkownika adekwatnie do zakresu posiadanych uprawnień musi zawierać element (np. pasek statusu), w którym będą wyświetlane informacje o nieobsłużonych zleceniach: </w:t>
      </w:r>
      <w:proofErr w:type="spellStart"/>
      <w:r w:rsidRPr="005F0AA8">
        <w:rPr>
          <w:rFonts w:cs="Times New Roman"/>
          <w:sz w:val="22"/>
          <w:szCs w:val="22"/>
        </w:rPr>
        <w:t>wypożyczeń</w:t>
      </w:r>
      <w:proofErr w:type="spellEnd"/>
      <w:r w:rsidRPr="005F0AA8">
        <w:rPr>
          <w:rFonts w:cs="Times New Roman"/>
          <w:sz w:val="22"/>
          <w:szCs w:val="22"/>
        </w:rPr>
        <w:t xml:space="preserve"> obiektów z archiwum, </w:t>
      </w:r>
      <w:proofErr w:type="spellStart"/>
      <w:r w:rsidRPr="005F0AA8">
        <w:rPr>
          <w:rFonts w:cs="Times New Roman"/>
          <w:sz w:val="22"/>
          <w:szCs w:val="22"/>
        </w:rPr>
        <w:t>barwień</w:t>
      </w:r>
      <w:proofErr w:type="spellEnd"/>
      <w:r w:rsidRPr="005F0AA8">
        <w:rPr>
          <w:rFonts w:cs="Times New Roman"/>
          <w:sz w:val="22"/>
          <w:szCs w:val="22"/>
        </w:rPr>
        <w:t xml:space="preserve"> dodatkowych, przebarwień preparatów, dokrawania materiału (II rzutu), skanowania preparatów.</w:t>
      </w:r>
    </w:p>
    <w:p w14:paraId="6AD6EE92" w14:textId="77777777" w:rsidR="00417F0E" w:rsidRPr="005F0AA8" w:rsidRDefault="00417F0E" w:rsidP="00417F0E">
      <w:pPr>
        <w:pStyle w:val="Akapitzlist"/>
        <w:numPr>
          <w:ilvl w:val="1"/>
          <w:numId w:val="13"/>
        </w:numPr>
        <w:ind w:left="426"/>
        <w:jc w:val="both"/>
        <w:rPr>
          <w:rFonts w:cs="Times New Roman"/>
        </w:rPr>
      </w:pPr>
      <w:r w:rsidRPr="005F0AA8">
        <w:rPr>
          <w:rFonts w:cs="Times New Roman"/>
        </w:rPr>
        <w:t>Generowanie plików PDF oraz PIK HL7-CDA z wynikami badań przy zatwierdzaniu wyniku. Wymagana implementacja szablonów PIK HL7-CDA dla: Opisu badania diagnostycznego, Sprawozdania z badania laboratoryjnego, Rozpoznania patomorfologicznego (w wariantach: histologia, cytologia). Merytoryczny wybór szablonu następuje zgodnie z rodzajem wykonanego badania w systemie. Niedopuszczalna jest implementacja polegająca na rejestracji w EDM wyników zawierających wyłącznie prezentacyjną formę wyniku (np. zagnieżdżony plik PDF).</w:t>
      </w:r>
    </w:p>
    <w:p w14:paraId="528B4FD3" w14:textId="46CDD42C" w:rsidR="00417F0E" w:rsidRPr="005F0AA8" w:rsidRDefault="00417F0E" w:rsidP="00417F0E">
      <w:pPr>
        <w:pStyle w:val="Akapitzlist"/>
        <w:numPr>
          <w:ilvl w:val="1"/>
          <w:numId w:val="13"/>
        </w:numPr>
        <w:ind w:left="426"/>
        <w:jc w:val="both"/>
        <w:rPr>
          <w:rFonts w:cs="Times New Roman"/>
        </w:rPr>
      </w:pPr>
      <w:r w:rsidRPr="005F0AA8">
        <w:rPr>
          <w:rFonts w:cs="Times New Roman"/>
        </w:rPr>
        <w:t>Podpisywanie plików PDF oraz PIK HL7-CDA z wynikami badań podpisem elektronicznym (osadzonym w plik</w:t>
      </w:r>
      <w:r w:rsidR="00093001" w:rsidRPr="005F0AA8">
        <w:rPr>
          <w:rFonts w:cs="Times New Roman"/>
        </w:rPr>
        <w:t>u</w:t>
      </w:r>
      <w:r w:rsidRPr="005F0AA8">
        <w:rPr>
          <w:rFonts w:cs="Times New Roman"/>
        </w:rPr>
        <w:t xml:space="preserve">). Obsługa znakowania dokumentów znacznikiem czasu. Dostarczenie opcjonalnej usługi znakowania zgodnej ze standardem RFC3161 czasem leży w gestii Zamawiającego. Podpis cyfrowy pod obiema formami wyniku (PDF </w:t>
      </w:r>
      <w:r w:rsidRPr="005F0AA8">
        <w:rPr>
          <w:rFonts w:cs="Times New Roman"/>
        </w:rPr>
        <w:lastRenderedPageBreak/>
        <w:t>i HL7-CDA) musi być składany z jednokrotnym podaniem kodu PIN (hasła) do certyfikatu. Możliwość podpisania podpisem elektronicznym wyników wstępnych i ostatecznych.</w:t>
      </w:r>
    </w:p>
    <w:p w14:paraId="45822400" w14:textId="74DFC0B6" w:rsidR="00417F0E" w:rsidRPr="005F0AA8" w:rsidRDefault="00417F0E" w:rsidP="00417F0E">
      <w:pPr>
        <w:pStyle w:val="Akapitzlist"/>
        <w:numPr>
          <w:ilvl w:val="1"/>
          <w:numId w:val="13"/>
        </w:numPr>
        <w:ind w:left="426"/>
        <w:jc w:val="both"/>
        <w:rPr>
          <w:rFonts w:cs="Times New Roman"/>
        </w:rPr>
      </w:pPr>
      <w:r w:rsidRPr="005F0AA8">
        <w:rPr>
          <w:rFonts w:cs="Times New Roman"/>
        </w:rPr>
        <w:t>Możliwość wykorzystania podpisów kwalifikowanych (przechowywanych na fizycznym nośniku lub chmurowych), niekwalifikowanych oraz certyfikat</w:t>
      </w:r>
      <w:r w:rsidR="00117DC6" w:rsidRPr="005F0AA8">
        <w:rPr>
          <w:rFonts w:cs="Times New Roman"/>
        </w:rPr>
        <w:t>ów</w:t>
      </w:r>
      <w:r w:rsidRPr="005F0AA8">
        <w:rPr>
          <w:rFonts w:cs="Times New Roman"/>
        </w:rPr>
        <w:t xml:space="preserve"> ZUS. Możliwość importu certyfikatu niekwalifikowanego do systemu w celu wykorzystania go na dowolnym ze stanowisk, na które zaloguje się użytkownik, bez konieczności ponownego importu certyfikatu.</w:t>
      </w:r>
    </w:p>
    <w:p w14:paraId="2CABDF61" w14:textId="77777777" w:rsidR="00417F0E" w:rsidRPr="005F0AA8" w:rsidRDefault="00417F0E" w:rsidP="00417F0E">
      <w:pPr>
        <w:pStyle w:val="Akapitzlist"/>
        <w:numPr>
          <w:ilvl w:val="1"/>
          <w:numId w:val="13"/>
        </w:numPr>
        <w:ind w:left="426"/>
        <w:jc w:val="both"/>
        <w:rPr>
          <w:rFonts w:cs="Times New Roman"/>
        </w:rPr>
      </w:pPr>
      <w:r w:rsidRPr="005F0AA8">
        <w:rPr>
          <w:rFonts w:cs="Times New Roman"/>
        </w:rPr>
        <w:t>Podpisywanie hurtowe podpisem cyfrowym z jednorazowym podaniem kodu PIN (hasła).</w:t>
      </w:r>
    </w:p>
    <w:p w14:paraId="0C95CFE9" w14:textId="77777777" w:rsidR="00417F0E" w:rsidRPr="005F0AA8" w:rsidRDefault="00417F0E" w:rsidP="00417F0E">
      <w:pPr>
        <w:pStyle w:val="Akapitzlist"/>
        <w:ind w:left="426"/>
        <w:jc w:val="both"/>
        <w:rPr>
          <w:rFonts w:cs="Times New Roman"/>
          <w:sz w:val="22"/>
          <w:szCs w:val="22"/>
        </w:rPr>
      </w:pPr>
    </w:p>
    <w:p w14:paraId="6EA6AE5B" w14:textId="083FC1AD" w:rsidR="009E4757" w:rsidRPr="005F0AA8" w:rsidRDefault="009E4757" w:rsidP="009A6A8E">
      <w:pPr>
        <w:pStyle w:val="Nagwek1"/>
        <w:numPr>
          <w:ilvl w:val="0"/>
          <w:numId w:val="13"/>
        </w:numPr>
        <w:rPr>
          <w:rFonts w:cs="Times New Roman"/>
          <w:color w:val="auto"/>
          <w:sz w:val="22"/>
          <w:szCs w:val="22"/>
        </w:rPr>
      </w:pPr>
      <w:bookmarkStart w:id="3" w:name="_Ref171596667"/>
      <w:bookmarkStart w:id="4" w:name="_Toc194396357"/>
      <w:r w:rsidRPr="005F0AA8">
        <w:rPr>
          <w:rFonts w:cs="Times New Roman"/>
          <w:color w:val="auto"/>
          <w:sz w:val="22"/>
          <w:szCs w:val="22"/>
        </w:rPr>
        <w:t>Wyszukiwanie</w:t>
      </w:r>
      <w:bookmarkEnd w:id="3"/>
      <w:bookmarkEnd w:id="4"/>
    </w:p>
    <w:p w14:paraId="1047210F" w14:textId="77777777" w:rsidR="0006659A" w:rsidRPr="005F0AA8" w:rsidRDefault="0006659A" w:rsidP="0006659A">
      <w:pPr>
        <w:rPr>
          <w:rFonts w:cs="Times New Roman"/>
          <w:sz w:val="22"/>
          <w:szCs w:val="22"/>
        </w:rPr>
      </w:pPr>
    </w:p>
    <w:p w14:paraId="0B7BD30C" w14:textId="5158797B" w:rsidR="009E4757" w:rsidRPr="005F0AA8" w:rsidRDefault="009E4757" w:rsidP="0006659A">
      <w:pPr>
        <w:pStyle w:val="Akapitzlist"/>
        <w:numPr>
          <w:ilvl w:val="1"/>
          <w:numId w:val="13"/>
        </w:numPr>
        <w:ind w:left="567"/>
        <w:jc w:val="both"/>
        <w:rPr>
          <w:rFonts w:cs="Times New Roman"/>
          <w:sz w:val="22"/>
          <w:szCs w:val="22"/>
        </w:rPr>
      </w:pPr>
      <w:bookmarkStart w:id="5" w:name="_Ref171595966"/>
      <w:r w:rsidRPr="005F0AA8">
        <w:rPr>
          <w:rFonts w:cs="Times New Roman"/>
          <w:sz w:val="22"/>
          <w:szCs w:val="22"/>
        </w:rPr>
        <w:t>Możliwość wyszukiwania przypadków wg kryteriów:</w:t>
      </w:r>
      <w:bookmarkEnd w:id="5"/>
    </w:p>
    <w:p w14:paraId="285C1BBF" w14:textId="519CACD5" w:rsidR="009E4757" w:rsidRPr="005F0AA8" w:rsidRDefault="009E4757" w:rsidP="00D76B9C">
      <w:pPr>
        <w:pStyle w:val="Akapitzlist"/>
        <w:numPr>
          <w:ilvl w:val="2"/>
          <w:numId w:val="13"/>
        </w:numPr>
        <w:ind w:left="1134"/>
        <w:jc w:val="both"/>
        <w:rPr>
          <w:rFonts w:cs="Times New Roman"/>
          <w:sz w:val="22"/>
          <w:szCs w:val="22"/>
        </w:rPr>
      </w:pPr>
      <w:bookmarkStart w:id="6" w:name="_Hlk171672881"/>
      <w:r w:rsidRPr="005F0AA8">
        <w:rPr>
          <w:rFonts w:cs="Times New Roman"/>
          <w:sz w:val="22"/>
          <w:szCs w:val="22"/>
        </w:rPr>
        <w:t>kod kreskowy dowolnego z obiektów w systemie,</w:t>
      </w:r>
    </w:p>
    <w:p w14:paraId="70A1448D" w14:textId="348C6085"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numer księgi pracowni, ID systemowy (unikatowy) przypadku,</w:t>
      </w:r>
    </w:p>
    <w:p w14:paraId="75CFD113" w14:textId="3C5BC8D7"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nazwisko i imię pacjenta (włącznie z fragmentami),</w:t>
      </w:r>
    </w:p>
    <w:p w14:paraId="4094CFD8" w14:textId="356F6A1C"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płeć,</w:t>
      </w:r>
    </w:p>
    <w:bookmarkEnd w:id="6"/>
    <w:p w14:paraId="27F67ABF" w14:textId="6869DBCA"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PESEL,</w:t>
      </w:r>
    </w:p>
    <w:p w14:paraId="35CFACBB" w14:textId="37E6B00C"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wiek,</w:t>
      </w:r>
    </w:p>
    <w:p w14:paraId="7B225660" w14:textId="17000E39"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identyfikator zewnętrzny pacjenta (np. PID z systemu szpitalnego HIS),</w:t>
      </w:r>
    </w:p>
    <w:p w14:paraId="6F5895E9" w14:textId="6F000762"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daty: pobrania materiału (zabiegu), rejestracji przypadku, przekazania przypadku osobie odpowiedzialnej, zatwierdzenia przypadku, oczekiwana data wyniku, podpisu elektronicznego wyniku, data wydruku wyniku,</w:t>
      </w:r>
    </w:p>
    <w:p w14:paraId="347C015C" w14:textId="010FC79A"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nr SIMP,</w:t>
      </w:r>
    </w:p>
    <w:p w14:paraId="144CE7B0" w14:textId="00E619E8"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lekarz kierujący,</w:t>
      </w:r>
    </w:p>
    <w:p w14:paraId="6561066E" w14:textId="167C7F7F"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rozpoznanie kliniczne (włącznie z fragmentami),</w:t>
      </w:r>
    </w:p>
    <w:p w14:paraId="56408C57" w14:textId="4133F70A"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zlecający, oddział (jedn. org.) zlecającego,</w:t>
      </w:r>
    </w:p>
    <w:p w14:paraId="0554D268" w14:textId="0199200D"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numer i typ badania,</w:t>
      </w:r>
    </w:p>
    <w:p w14:paraId="2218895E" w14:textId="6A6F539C"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numer i typ materiału, podtyp materiału,</w:t>
      </w:r>
    </w:p>
    <w:p w14:paraId="225AADB9" w14:textId="4BE76D0D"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typ zleconej usługi,</w:t>
      </w:r>
    </w:p>
    <w:p w14:paraId="0BC74C21" w14:textId="084F67D0"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numer i typ preparatu, typ grupy preparatów,</w:t>
      </w:r>
    </w:p>
    <w:p w14:paraId="17741192" w14:textId="1BDFDF04" w:rsidR="008E7F60" w:rsidRPr="005F0AA8" w:rsidRDefault="008E7F60"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marker histologiczny powiązany z typem preparatu</w:t>
      </w:r>
    </w:p>
    <w:p w14:paraId="77C0511F" w14:textId="7A8FB739"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diagnozujący, diagnozujący 2, konsultujący, lek. wykrawający, osoba odpowiedzialna za wynik, osoba rejestrująca,</w:t>
      </w:r>
    </w:p>
    <w:p w14:paraId="27F508E0" w14:textId="76751232"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rozpoznanie (włącznie z fragmentami),</w:t>
      </w:r>
    </w:p>
    <w:p w14:paraId="7E624187" w14:textId="5D109295"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miejsce pobrania (włącznie z fragmentami),</w:t>
      </w:r>
    </w:p>
    <w:p w14:paraId="1A78D52D" w14:textId="4EDE65E8"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topografia ze zdefiniowanego słownika,</w:t>
      </w:r>
    </w:p>
    <w:p w14:paraId="2896E003" w14:textId="3D54C17D"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lokalizacja preparatu, lokalizacja skierowania</w:t>
      </w:r>
    </w:p>
    <w:p w14:paraId="3F1CA390" w14:textId="5EF2DDDC"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statusy: zatwierdzenia przypadku, wydrukowania przypadku, kontrasygnaty 2. diagnozującego, kontrasygnaty konsultanta, wydania wyniku zlecającemu, wygenerowania wyniku w pliku PDF (Tak/Nie), podpisu elektronicznego wyniku (Tak/Nie), status logistyczny przypadku, wynik do weryfikacji (Tak/Nie), materiał posiada załącznik (Tak/Nie), preparat posiada skan (Tak/Nie), zdiagnozowano nowotwór złośliwy (Tak/Nie),</w:t>
      </w:r>
    </w:p>
    <w:p w14:paraId="48BBA84C" w14:textId="6801B645"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rozpoznanie cytologiczne wg Bethesda (w tym kombinacja wielu warunków i/lub/nie posiada),</w:t>
      </w:r>
    </w:p>
    <w:p w14:paraId="62345568" w14:textId="0F6EF50F"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lastRenderedPageBreak/>
        <w:t xml:space="preserve"> </w:t>
      </w:r>
      <w:r w:rsidR="009E4757" w:rsidRPr="005F0AA8">
        <w:rPr>
          <w:rFonts w:cs="Times New Roman"/>
          <w:sz w:val="22"/>
          <w:szCs w:val="22"/>
        </w:rPr>
        <w:t xml:space="preserve">rodzaj rozpoznania sformalizowanego (np. wybrany raport synoptyczny), wartości pól </w:t>
      </w:r>
      <w:proofErr w:type="spellStart"/>
      <w:r w:rsidR="009E4757" w:rsidRPr="005F0AA8">
        <w:rPr>
          <w:rFonts w:cs="Times New Roman"/>
          <w:sz w:val="22"/>
          <w:szCs w:val="22"/>
        </w:rPr>
        <w:t>rozpoznań</w:t>
      </w:r>
      <w:proofErr w:type="spellEnd"/>
      <w:r w:rsidR="009E4757" w:rsidRPr="005F0AA8">
        <w:rPr>
          <w:rFonts w:cs="Times New Roman"/>
          <w:sz w:val="22"/>
          <w:szCs w:val="22"/>
        </w:rPr>
        <w:t xml:space="preserve"> sformalizowanych,</w:t>
      </w:r>
    </w:p>
    <w:p w14:paraId="0CBD62E8" w14:textId="21D38078"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zdefiniowane przez użytkownika znaczniki przypisywane do przypadku (w tym ich kombinacje za pomocą spójników logicznych I/LUB),</w:t>
      </w:r>
    </w:p>
    <w:p w14:paraId="588815E0" w14:textId="6DE9A60B"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tryb przyjęcia (pilność),</w:t>
      </w:r>
    </w:p>
    <w:p w14:paraId="77BC2A08" w14:textId="2A794699"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projekt, w ramach którego realizowany jest przypadek,</w:t>
      </w:r>
    </w:p>
    <w:p w14:paraId="08A5782F" w14:textId="050AC6F4"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ścieżka kliniczna,</w:t>
      </w:r>
    </w:p>
    <w:p w14:paraId="4F005F8A" w14:textId="730F2FFD"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wewnętrzna jednostka organizacyjna rejestrująca (przyjmująca) przypadek.</w:t>
      </w:r>
    </w:p>
    <w:p w14:paraId="73083ADD" w14:textId="77777777" w:rsidR="000C1B21"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Możliwość zdefiniowania przez użytkownika kolumn wyświetlanej listy wyników przypadków spełniających kryteria wyszukiwania.</w:t>
      </w:r>
    </w:p>
    <w:p w14:paraId="22333D76" w14:textId="43D8E64F" w:rsidR="009E4757" w:rsidRPr="005F0AA8" w:rsidRDefault="009E4757" w:rsidP="0006659A">
      <w:pPr>
        <w:pStyle w:val="Akapitzlist"/>
        <w:ind w:left="567"/>
        <w:jc w:val="both"/>
        <w:rPr>
          <w:rFonts w:cs="Times New Roman"/>
          <w:sz w:val="22"/>
          <w:szCs w:val="22"/>
        </w:rPr>
      </w:pPr>
      <w:r w:rsidRPr="005F0AA8">
        <w:rPr>
          <w:rFonts w:cs="Times New Roman"/>
          <w:sz w:val="22"/>
          <w:szCs w:val="22"/>
        </w:rPr>
        <w:t>Minimalny zakres kolumn do wyboru: Liczba porządkowa, identyfikator pacjenta, numer przypadku, imię i nazwisko pacjenta, PESEL, zlecający/oddział, data rejestracji, data zatwierdzenia, kod kreskowy badania umożliwiający wejście w przypadek poprzez zeskanowanie kodu z wydrukowanej listy.</w:t>
      </w:r>
    </w:p>
    <w:p w14:paraId="22C9ACB0" w14:textId="30781672"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Możliwość hurtowego wydruku wyników przypadków spełniających kryteria wyszukiwania wraz z określoną liczbą kopii zdefiniowaną w kontekście zlecanego badanie oraz alternatywnie ustaloną arbitralnie przez użytkownika</w:t>
      </w:r>
      <w:r w:rsidR="003901DA" w:rsidRPr="005F0AA8">
        <w:rPr>
          <w:rFonts w:cs="Times New Roman"/>
          <w:sz w:val="22"/>
          <w:szCs w:val="22"/>
        </w:rPr>
        <w:t>.</w:t>
      </w:r>
    </w:p>
    <w:p w14:paraId="2DF2A718" w14:textId="1482983B"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Możliwość wydruku tabelarycznej listy przypadków spełniających kryteria wyszukiwania.</w:t>
      </w:r>
    </w:p>
    <w:p w14:paraId="5100FE50" w14:textId="613355C4"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Możliwość wydruku statystyk ilościowych przypadków spełniających kryteria wyszukiwania, zawierających sumaryczne ilości wykonanych badań, preparatów, etapów procesu.</w:t>
      </w:r>
    </w:p>
    <w:p w14:paraId="2E291E8D" w14:textId="675797B9"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 xml:space="preserve">Zapisywanie kryteriów wyszukiwania i definiowanie ich jako „ulubionych” dla definiującego je użytkownika. </w:t>
      </w:r>
    </w:p>
    <w:p w14:paraId="0E13152C" w14:textId="1A9946CC" w:rsidR="00C730C4" w:rsidRPr="005F0AA8" w:rsidRDefault="00C730C4" w:rsidP="00C730C4">
      <w:pPr>
        <w:pStyle w:val="Akapitzlist"/>
        <w:numPr>
          <w:ilvl w:val="1"/>
          <w:numId w:val="13"/>
        </w:numPr>
        <w:ind w:left="567"/>
        <w:rPr>
          <w:rFonts w:cs="Times New Roman"/>
          <w:sz w:val="22"/>
          <w:szCs w:val="22"/>
        </w:rPr>
      </w:pPr>
      <w:r w:rsidRPr="005F0AA8">
        <w:rPr>
          <w:rFonts w:cs="Times New Roman"/>
          <w:sz w:val="22"/>
          <w:szCs w:val="22"/>
        </w:rPr>
        <w:t>Możliwość przypinania poszczególnym użytkownikom zapisanych kryteriów wyszukiwania („ulubionych”) przez osobę upoważnioną do zarządzania użytkownikami.</w:t>
      </w:r>
    </w:p>
    <w:p w14:paraId="7A85D8BE" w14:textId="5B1E755D"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Generowanie wykresów trendu dla „ulubionych” statystyk dla definiującego je użytkownika, automatycznie raz na dobę.</w:t>
      </w:r>
    </w:p>
    <w:p w14:paraId="7BD8E2D6" w14:textId="7286658E"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Możliwość definiowania własnych atrybutów (znaczników) dla przypadków i późniejsze wyszukiwanie po tych atrybutach (także ich kombinacji).</w:t>
      </w:r>
    </w:p>
    <w:p w14:paraId="4A8328A6" w14:textId="366305D3"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Możliwość eksportu danych z odfiltrowanych badań w wyszukiwarce do pliku Excel XML (lub CSV) oraz PDF w celu dalszej analizy lub obróbki statystycznej.</w:t>
      </w:r>
    </w:p>
    <w:p w14:paraId="24BB3A5A" w14:textId="3524D3B8" w:rsidR="009E4757" w:rsidRPr="005F0AA8" w:rsidRDefault="009E4757" w:rsidP="009A6A8E">
      <w:pPr>
        <w:pStyle w:val="Nagwek1"/>
        <w:numPr>
          <w:ilvl w:val="0"/>
          <w:numId w:val="13"/>
        </w:numPr>
        <w:rPr>
          <w:rFonts w:cs="Times New Roman"/>
          <w:color w:val="auto"/>
          <w:sz w:val="22"/>
          <w:szCs w:val="22"/>
        </w:rPr>
      </w:pPr>
      <w:bookmarkStart w:id="7" w:name="_Toc194396358"/>
      <w:r w:rsidRPr="005F0AA8">
        <w:rPr>
          <w:rFonts w:cs="Times New Roman"/>
          <w:color w:val="auto"/>
          <w:sz w:val="22"/>
          <w:szCs w:val="22"/>
        </w:rPr>
        <w:t>Obsługa badań</w:t>
      </w:r>
      <w:bookmarkEnd w:id="7"/>
    </w:p>
    <w:p w14:paraId="254D7CED" w14:textId="77777777" w:rsidR="0006659A" w:rsidRPr="005F0AA8" w:rsidRDefault="0006659A" w:rsidP="0006659A">
      <w:pPr>
        <w:rPr>
          <w:rFonts w:cs="Times New Roman"/>
          <w:sz w:val="22"/>
          <w:szCs w:val="22"/>
        </w:rPr>
      </w:pPr>
    </w:p>
    <w:p w14:paraId="3DBA6490" w14:textId="40B8D0DF"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Dodawanie, edycja, usuwanie materiału diagnostycznego.</w:t>
      </w:r>
    </w:p>
    <w:p w14:paraId="32B0C84C" w14:textId="1FBF40EB"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Dodawanie, edycja, usuwanie lokalizacji anatomicznych w ramach materiału diagnostycznego.</w:t>
      </w:r>
    </w:p>
    <w:p w14:paraId="4300D93C" w14:textId="20D71377"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Dodawanie, edycja, usuwanie badań (np. kasetek/bloczków)</w:t>
      </w:r>
      <w:r w:rsidR="008D4E64" w:rsidRPr="005F0AA8">
        <w:rPr>
          <w:rFonts w:cs="Times New Roman"/>
          <w:sz w:val="22"/>
          <w:szCs w:val="22"/>
        </w:rPr>
        <w:t>.</w:t>
      </w:r>
    </w:p>
    <w:p w14:paraId="129AB388" w14:textId="13E90805"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Dodawanie, edycja, usuwanie preparatów.</w:t>
      </w:r>
    </w:p>
    <w:p w14:paraId="53E62EFD" w14:textId="7F780863"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 xml:space="preserve">Dodawanie, edycja, usuwanie </w:t>
      </w:r>
      <w:proofErr w:type="spellStart"/>
      <w:r w:rsidRPr="005F0AA8">
        <w:rPr>
          <w:rFonts w:cs="Times New Roman"/>
          <w:sz w:val="22"/>
          <w:szCs w:val="22"/>
        </w:rPr>
        <w:t>rozpoznań</w:t>
      </w:r>
      <w:proofErr w:type="spellEnd"/>
      <w:r w:rsidRPr="005F0AA8">
        <w:rPr>
          <w:rFonts w:cs="Times New Roman"/>
          <w:sz w:val="22"/>
          <w:szCs w:val="22"/>
        </w:rPr>
        <w:t xml:space="preserve"> do badań w przypadku.</w:t>
      </w:r>
    </w:p>
    <w:p w14:paraId="40A57DCC" w14:textId="6A1ED6BE"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Wydruk zatwierdzonego przypadku lub w statusie „wynik wstępny”. Możliwość podglądu wydruku przed autoryzacją lub wydrukowaniem.</w:t>
      </w:r>
    </w:p>
    <w:p w14:paraId="27D7C571" w14:textId="3DCB4927"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Podgląd historii operacji użytkowników w kontekście przypadku, materiału diagnostycznego, lokalizacji, badań i preparatów.</w:t>
      </w:r>
    </w:p>
    <w:p w14:paraId="1BBE3AB9" w14:textId="5635A9CF"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Przechowywanie historycznej wersji wszystkich wyników przypadku.</w:t>
      </w:r>
    </w:p>
    <w:p w14:paraId="6EE27D9B" w14:textId="0226F3C7"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Możliwość zdefiniowania nazewnictwa osób uczestniczących w procesie diagnostycznym w zależności od typu badania.</w:t>
      </w:r>
      <w:r w:rsidRPr="005F0AA8">
        <w:rPr>
          <w:rFonts w:cs="Times New Roman"/>
          <w:sz w:val="22"/>
          <w:szCs w:val="22"/>
        </w:rPr>
        <w:tab/>
      </w:r>
    </w:p>
    <w:p w14:paraId="2E0468C1" w14:textId="0003E2CD"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Możliwość podpinania załączników (min. dokument Microsoft Word, zdjęcie) pod dowolne skierowanie, materiał, badanie, preparat, etap procesu i zlecenie wypożyczenia.</w:t>
      </w:r>
    </w:p>
    <w:p w14:paraId="129598D3" w14:textId="29E95037"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lastRenderedPageBreak/>
        <w:t xml:space="preserve">Możliwość zdefiniowania procedur wykonywanych przy odpowiedniej akcji (np. dodaj materiał, edytuj materiał), które mogą realizować automatyzację działań, np. podpinanie procedur rozliczeniowych, generowanie statystyk, dodawanie rutynowych preparatów itp. </w:t>
      </w:r>
    </w:p>
    <w:p w14:paraId="101491A0" w14:textId="4C923288"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 xml:space="preserve">W przypadku słownika </w:t>
      </w:r>
      <w:proofErr w:type="spellStart"/>
      <w:r w:rsidRPr="005F0AA8">
        <w:rPr>
          <w:rFonts w:cs="Times New Roman"/>
          <w:sz w:val="22"/>
          <w:szCs w:val="22"/>
        </w:rPr>
        <w:t>barwień</w:t>
      </w:r>
      <w:proofErr w:type="spellEnd"/>
      <w:r w:rsidRPr="005F0AA8">
        <w:rPr>
          <w:rFonts w:cs="Times New Roman"/>
          <w:sz w:val="22"/>
          <w:szCs w:val="22"/>
        </w:rPr>
        <w:t xml:space="preserve"> dodatkowych możliwość definiowania pozycji preferowanych przez użytkownika.</w:t>
      </w:r>
    </w:p>
    <w:p w14:paraId="002358BB" w14:textId="713CFC33"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Szablony globalne (widoczne per jednostka organizacyjna) typowych tekstów (rozpoznanie kliniczne, obraz makroskopowy, rozpoznanie patomorfologiczne, komentarze, uwagi do wyniku itp.) zarządzane przez użytkownika z odpowiednim poziomem uprawnień.</w:t>
      </w:r>
    </w:p>
    <w:p w14:paraId="670FBAD9" w14:textId="13CD920F"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Szablony prywatne typowych tekstów (rozpoznanie kliniczne, obraz makroskopowy, rozpoznanie patomorfologiczne,  komentarze, uwagi do wyniku itp.) widoczne i edytowalne tylko przez osobę tworzącą.</w:t>
      </w:r>
    </w:p>
    <w:p w14:paraId="61800A85" w14:textId="646DED7B"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Funkcja cesji przypadku do innego odpowiedzialnego.</w:t>
      </w:r>
    </w:p>
    <w:p w14:paraId="082089EE" w14:textId="23F2C280"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 xml:space="preserve">Obsługa wycinków histopatologicznych wymagających odwapniania lub </w:t>
      </w:r>
      <w:proofErr w:type="spellStart"/>
      <w:r w:rsidRPr="005F0AA8">
        <w:rPr>
          <w:rFonts w:cs="Times New Roman"/>
          <w:sz w:val="22"/>
          <w:szCs w:val="22"/>
        </w:rPr>
        <w:t>dotrwalania</w:t>
      </w:r>
      <w:proofErr w:type="spellEnd"/>
      <w:r w:rsidRPr="005F0AA8">
        <w:rPr>
          <w:rFonts w:cs="Times New Roman"/>
          <w:sz w:val="22"/>
          <w:szCs w:val="22"/>
        </w:rPr>
        <w:t>.</w:t>
      </w:r>
    </w:p>
    <w:p w14:paraId="63581B5E" w14:textId="26C83504" w:rsidR="009E4757" w:rsidRPr="005F0AA8" w:rsidRDefault="009E4757" w:rsidP="009A6A8E">
      <w:pPr>
        <w:pStyle w:val="Nagwek1"/>
        <w:numPr>
          <w:ilvl w:val="0"/>
          <w:numId w:val="13"/>
        </w:numPr>
        <w:rPr>
          <w:rFonts w:cs="Times New Roman"/>
          <w:color w:val="auto"/>
          <w:sz w:val="22"/>
          <w:szCs w:val="22"/>
        </w:rPr>
      </w:pPr>
      <w:bookmarkStart w:id="8" w:name="_Toc194396359"/>
      <w:r w:rsidRPr="005F0AA8">
        <w:rPr>
          <w:rFonts w:cs="Times New Roman"/>
          <w:color w:val="auto"/>
          <w:sz w:val="22"/>
          <w:szCs w:val="22"/>
        </w:rPr>
        <w:t>Kontrola jakości, terminowość badań i zdarzenia niepożądane</w:t>
      </w:r>
      <w:bookmarkEnd w:id="8"/>
    </w:p>
    <w:p w14:paraId="67F1FDE6" w14:textId="77777777" w:rsidR="0006659A" w:rsidRPr="005F0AA8" w:rsidRDefault="0006659A" w:rsidP="0006659A">
      <w:pPr>
        <w:rPr>
          <w:rFonts w:cs="Times New Roman"/>
          <w:sz w:val="22"/>
          <w:szCs w:val="22"/>
        </w:rPr>
      </w:pPr>
    </w:p>
    <w:p w14:paraId="461ECFEC" w14:textId="4ABCD4EC"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 xml:space="preserve">Kontekstowy rejestr zdarzeń kontroli jakości z dokładnością do przypadku/skierowania, materiału, badania, preparatu, wypożyczenia, etapu procesu, </w:t>
      </w:r>
      <w:proofErr w:type="spellStart"/>
      <w:r w:rsidRPr="005F0AA8">
        <w:rPr>
          <w:rFonts w:cs="Times New Roman"/>
          <w:sz w:val="22"/>
          <w:szCs w:val="22"/>
        </w:rPr>
        <w:t>odwapniacza</w:t>
      </w:r>
      <w:proofErr w:type="spellEnd"/>
      <w:r w:rsidRPr="005F0AA8">
        <w:rPr>
          <w:rFonts w:cs="Times New Roman"/>
          <w:sz w:val="22"/>
          <w:szCs w:val="22"/>
        </w:rPr>
        <w:t>.</w:t>
      </w:r>
    </w:p>
    <w:p w14:paraId="271B645B" w14:textId="20951970"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Kategoria zgłoszenia kontroli jakości do wyboru ze słownika konfigurowalnego przez upoważnionego użytkownika. Zgłoszenie musi mieć powiązanie z osobą zgłaszającą i odpowiedzialną. Automatyczne, dynamiczne określanie osoby odpowiedzialnej za rozwiązanie danego zgłoszenia na podstawie konfiguracji w typie zgłoszenia (np. za błąd zatopienia bloczka odpowiada osoba faktycznie zatapiająca ten bloczek).</w:t>
      </w:r>
    </w:p>
    <w:p w14:paraId="60E5C5CE" w14:textId="017F26BE"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Możliwość wykorzystania zdarzeń kontroli jakości do sporządzania statystyk zdarzeń zachodzących w jednostce.</w:t>
      </w:r>
    </w:p>
    <w:p w14:paraId="69E26C5D" w14:textId="44A1EEFF" w:rsidR="009E4757" w:rsidRPr="005F0AA8" w:rsidRDefault="009E4757" w:rsidP="0006659A">
      <w:pPr>
        <w:pStyle w:val="Akapitzlist"/>
        <w:numPr>
          <w:ilvl w:val="1"/>
          <w:numId w:val="13"/>
        </w:numPr>
        <w:ind w:left="567"/>
        <w:rPr>
          <w:rFonts w:cs="Times New Roman"/>
          <w:sz w:val="22"/>
          <w:szCs w:val="22"/>
        </w:rPr>
      </w:pPr>
      <w:r w:rsidRPr="005F0AA8">
        <w:rPr>
          <w:rFonts w:cs="Times New Roman"/>
          <w:sz w:val="22"/>
          <w:szCs w:val="22"/>
        </w:rPr>
        <w:t>Możliwość automatycznego dodawania zdarzeń kontroli jakości w przypadku wykrycia przez system sytuacji nietypowych, takich tak:</w:t>
      </w:r>
    </w:p>
    <w:p w14:paraId="2E6427A5" w14:textId="51E09ED7" w:rsidR="009E4757" w:rsidRPr="005F0AA8" w:rsidRDefault="009E4757" w:rsidP="00D76B9C">
      <w:pPr>
        <w:pStyle w:val="Akapitzlist"/>
        <w:numPr>
          <w:ilvl w:val="2"/>
          <w:numId w:val="13"/>
        </w:numPr>
        <w:ind w:left="1134"/>
        <w:rPr>
          <w:rFonts w:cs="Times New Roman"/>
          <w:sz w:val="22"/>
          <w:szCs w:val="22"/>
        </w:rPr>
      </w:pPr>
      <w:r w:rsidRPr="005F0AA8">
        <w:rPr>
          <w:rFonts w:cs="Times New Roman"/>
          <w:sz w:val="22"/>
          <w:szCs w:val="22"/>
        </w:rPr>
        <w:t>przekazano niekompletny przypadek do diagnostyki;</w:t>
      </w:r>
    </w:p>
    <w:p w14:paraId="5351A215" w14:textId="0F81E4B1" w:rsidR="009E4757" w:rsidRPr="005F0AA8" w:rsidRDefault="009E4757" w:rsidP="00D76B9C">
      <w:pPr>
        <w:pStyle w:val="Akapitzlist"/>
        <w:numPr>
          <w:ilvl w:val="2"/>
          <w:numId w:val="13"/>
        </w:numPr>
        <w:ind w:left="1134"/>
        <w:rPr>
          <w:rFonts w:cs="Times New Roman"/>
          <w:sz w:val="22"/>
          <w:szCs w:val="22"/>
        </w:rPr>
      </w:pPr>
      <w:r w:rsidRPr="005F0AA8">
        <w:rPr>
          <w:rFonts w:cs="Times New Roman"/>
          <w:sz w:val="22"/>
          <w:szCs w:val="22"/>
        </w:rPr>
        <w:t>wykonano odbarwienie/przebarwienie preparatu;</w:t>
      </w:r>
    </w:p>
    <w:p w14:paraId="7DC3E1DB" w14:textId="2A90689F" w:rsidR="009E4757" w:rsidRPr="005F0AA8" w:rsidRDefault="009E4757" w:rsidP="00D76B9C">
      <w:pPr>
        <w:pStyle w:val="Akapitzlist"/>
        <w:numPr>
          <w:ilvl w:val="2"/>
          <w:numId w:val="13"/>
        </w:numPr>
        <w:ind w:left="1134"/>
        <w:rPr>
          <w:rFonts w:cs="Times New Roman"/>
          <w:sz w:val="22"/>
          <w:szCs w:val="22"/>
        </w:rPr>
      </w:pPr>
      <w:r w:rsidRPr="005F0AA8">
        <w:rPr>
          <w:rFonts w:cs="Times New Roman"/>
          <w:sz w:val="22"/>
          <w:szCs w:val="22"/>
        </w:rPr>
        <w:t>usunięto przypadek bez wydania wyniku;</w:t>
      </w:r>
    </w:p>
    <w:p w14:paraId="5EBC93C8" w14:textId="14FF151B" w:rsidR="009E4757" w:rsidRPr="005F0AA8" w:rsidRDefault="009E4757" w:rsidP="00D76B9C">
      <w:pPr>
        <w:pStyle w:val="Akapitzlist"/>
        <w:numPr>
          <w:ilvl w:val="2"/>
          <w:numId w:val="13"/>
        </w:numPr>
        <w:ind w:left="1134"/>
        <w:rPr>
          <w:rFonts w:cs="Times New Roman"/>
          <w:sz w:val="22"/>
          <w:szCs w:val="22"/>
        </w:rPr>
      </w:pPr>
      <w:r w:rsidRPr="005F0AA8">
        <w:rPr>
          <w:rFonts w:cs="Times New Roman"/>
          <w:sz w:val="22"/>
          <w:szCs w:val="22"/>
        </w:rPr>
        <w:t>usunięto przypadek po wydaniu wyniku;</w:t>
      </w:r>
    </w:p>
    <w:p w14:paraId="037E3800" w14:textId="5630B7F5" w:rsidR="009E4757" w:rsidRPr="005F0AA8" w:rsidRDefault="009E4757" w:rsidP="00D76B9C">
      <w:pPr>
        <w:pStyle w:val="Akapitzlist"/>
        <w:numPr>
          <w:ilvl w:val="2"/>
          <w:numId w:val="13"/>
        </w:numPr>
        <w:ind w:left="1134"/>
        <w:rPr>
          <w:rFonts w:cs="Times New Roman"/>
          <w:sz w:val="22"/>
          <w:szCs w:val="22"/>
        </w:rPr>
      </w:pPr>
      <w:r w:rsidRPr="005F0AA8">
        <w:rPr>
          <w:rFonts w:cs="Times New Roman"/>
          <w:sz w:val="22"/>
          <w:szCs w:val="22"/>
        </w:rPr>
        <w:t>dokonano cesji przypadku na innego diagnozującego;</w:t>
      </w:r>
    </w:p>
    <w:p w14:paraId="1C371166" w14:textId="53B81D24" w:rsidR="009E4757" w:rsidRPr="005F0AA8" w:rsidRDefault="009E4757" w:rsidP="00D76B9C">
      <w:pPr>
        <w:pStyle w:val="Akapitzlist"/>
        <w:numPr>
          <w:ilvl w:val="2"/>
          <w:numId w:val="13"/>
        </w:numPr>
        <w:ind w:left="1134"/>
        <w:rPr>
          <w:rFonts w:cs="Times New Roman"/>
          <w:sz w:val="22"/>
          <w:szCs w:val="22"/>
        </w:rPr>
      </w:pPr>
      <w:r w:rsidRPr="005F0AA8">
        <w:rPr>
          <w:rFonts w:cs="Times New Roman"/>
          <w:sz w:val="22"/>
          <w:szCs w:val="22"/>
        </w:rPr>
        <w:t>wynik podpisany cyfrowo przez osobę inną niż odpowiedzialny za przypadek;</w:t>
      </w:r>
    </w:p>
    <w:p w14:paraId="07A32EC7" w14:textId="22451F28" w:rsidR="009E4757" w:rsidRPr="005F0AA8" w:rsidRDefault="009E4757" w:rsidP="00D76B9C">
      <w:pPr>
        <w:pStyle w:val="Akapitzlist"/>
        <w:numPr>
          <w:ilvl w:val="2"/>
          <w:numId w:val="13"/>
        </w:numPr>
        <w:ind w:left="1134"/>
        <w:rPr>
          <w:rFonts w:cs="Times New Roman"/>
          <w:sz w:val="22"/>
          <w:szCs w:val="22"/>
        </w:rPr>
      </w:pPr>
      <w:r w:rsidRPr="005F0AA8">
        <w:rPr>
          <w:rFonts w:cs="Times New Roman"/>
          <w:sz w:val="22"/>
          <w:szCs w:val="22"/>
        </w:rPr>
        <w:t>błąd weryfikacji wersji wydawanego wyniku;</w:t>
      </w:r>
    </w:p>
    <w:p w14:paraId="1A464F07" w14:textId="7880D36E" w:rsidR="009E4757" w:rsidRPr="005F0AA8" w:rsidRDefault="009E4757" w:rsidP="00D76B9C">
      <w:pPr>
        <w:pStyle w:val="Akapitzlist"/>
        <w:numPr>
          <w:ilvl w:val="2"/>
          <w:numId w:val="13"/>
        </w:numPr>
        <w:ind w:left="1134"/>
        <w:rPr>
          <w:rFonts w:cs="Times New Roman"/>
          <w:sz w:val="22"/>
          <w:szCs w:val="22"/>
        </w:rPr>
      </w:pPr>
      <w:r w:rsidRPr="005F0AA8">
        <w:rPr>
          <w:rFonts w:cs="Times New Roman"/>
          <w:sz w:val="22"/>
          <w:szCs w:val="22"/>
        </w:rPr>
        <w:t>próba wydania wyniku w złej wersji;</w:t>
      </w:r>
    </w:p>
    <w:p w14:paraId="16528501" w14:textId="59430BF6" w:rsidR="009E4757" w:rsidRPr="005F0AA8" w:rsidRDefault="009E4757" w:rsidP="00D76B9C">
      <w:pPr>
        <w:pStyle w:val="Akapitzlist"/>
        <w:numPr>
          <w:ilvl w:val="2"/>
          <w:numId w:val="13"/>
        </w:numPr>
        <w:ind w:left="1134"/>
        <w:rPr>
          <w:rFonts w:cs="Times New Roman"/>
          <w:sz w:val="22"/>
          <w:szCs w:val="22"/>
        </w:rPr>
      </w:pPr>
      <w:r w:rsidRPr="005F0AA8">
        <w:rPr>
          <w:rFonts w:cs="Times New Roman"/>
          <w:sz w:val="22"/>
          <w:szCs w:val="22"/>
        </w:rPr>
        <w:t>próba usunięcia podjętego zlecenia przez zintegrowany system zewnętrzny;</w:t>
      </w:r>
    </w:p>
    <w:p w14:paraId="76C53972" w14:textId="45AF9D50" w:rsidR="009E4757" w:rsidRPr="005F0AA8" w:rsidRDefault="0006659A" w:rsidP="00D76B9C">
      <w:pPr>
        <w:pStyle w:val="Akapitzlist"/>
        <w:numPr>
          <w:ilvl w:val="2"/>
          <w:numId w:val="13"/>
        </w:numPr>
        <w:ind w:left="1134"/>
        <w:rPr>
          <w:rFonts w:cs="Times New Roman"/>
          <w:sz w:val="22"/>
          <w:szCs w:val="22"/>
        </w:rPr>
      </w:pPr>
      <w:r w:rsidRPr="005F0AA8">
        <w:rPr>
          <w:rFonts w:cs="Times New Roman"/>
          <w:sz w:val="22"/>
          <w:szCs w:val="22"/>
        </w:rPr>
        <w:t xml:space="preserve"> </w:t>
      </w:r>
      <w:r w:rsidR="009E4757" w:rsidRPr="005F0AA8">
        <w:rPr>
          <w:rFonts w:cs="Times New Roman"/>
          <w:sz w:val="22"/>
          <w:szCs w:val="22"/>
        </w:rPr>
        <w:t>preparat wytypowany losowo do technicznej kontroli jakości;</w:t>
      </w:r>
    </w:p>
    <w:p w14:paraId="0739D290" w14:textId="423402D1" w:rsidR="009E4757" w:rsidRPr="005F0AA8" w:rsidRDefault="0006659A" w:rsidP="00D76B9C">
      <w:pPr>
        <w:pStyle w:val="Akapitzlist"/>
        <w:numPr>
          <w:ilvl w:val="2"/>
          <w:numId w:val="13"/>
        </w:numPr>
        <w:ind w:left="1134"/>
        <w:rPr>
          <w:rFonts w:cs="Times New Roman"/>
          <w:sz w:val="22"/>
          <w:szCs w:val="22"/>
        </w:rPr>
      </w:pPr>
      <w:r w:rsidRPr="005F0AA8">
        <w:rPr>
          <w:rFonts w:cs="Times New Roman"/>
          <w:sz w:val="22"/>
          <w:szCs w:val="22"/>
        </w:rPr>
        <w:t xml:space="preserve"> </w:t>
      </w:r>
      <w:r w:rsidR="009E4757" w:rsidRPr="005F0AA8">
        <w:rPr>
          <w:rFonts w:cs="Times New Roman"/>
          <w:sz w:val="22"/>
          <w:szCs w:val="22"/>
        </w:rPr>
        <w:t>podano numer materiału ręcznie zamiast skanowania kodu kreskowego;</w:t>
      </w:r>
    </w:p>
    <w:p w14:paraId="504F9370" w14:textId="4BCDB095" w:rsidR="009E4757" w:rsidRPr="005F0AA8" w:rsidRDefault="0006659A" w:rsidP="00D76B9C">
      <w:pPr>
        <w:pStyle w:val="Akapitzlist"/>
        <w:numPr>
          <w:ilvl w:val="2"/>
          <w:numId w:val="13"/>
        </w:numPr>
        <w:ind w:left="1134"/>
        <w:rPr>
          <w:rFonts w:cs="Times New Roman"/>
          <w:sz w:val="22"/>
          <w:szCs w:val="22"/>
        </w:rPr>
      </w:pPr>
      <w:r w:rsidRPr="005F0AA8">
        <w:rPr>
          <w:rFonts w:cs="Times New Roman"/>
          <w:sz w:val="22"/>
          <w:szCs w:val="22"/>
        </w:rPr>
        <w:t xml:space="preserve"> </w:t>
      </w:r>
      <w:r w:rsidR="009E4757" w:rsidRPr="005F0AA8">
        <w:rPr>
          <w:rFonts w:cs="Times New Roman"/>
          <w:sz w:val="22"/>
          <w:szCs w:val="22"/>
        </w:rPr>
        <w:t xml:space="preserve">podano numer </w:t>
      </w:r>
      <w:proofErr w:type="spellStart"/>
      <w:r w:rsidR="009E4757" w:rsidRPr="005F0AA8">
        <w:rPr>
          <w:rFonts w:cs="Times New Roman"/>
          <w:sz w:val="22"/>
          <w:szCs w:val="22"/>
        </w:rPr>
        <w:t>odwapniacza</w:t>
      </w:r>
      <w:proofErr w:type="spellEnd"/>
      <w:r w:rsidR="009E4757" w:rsidRPr="005F0AA8">
        <w:rPr>
          <w:rFonts w:cs="Times New Roman"/>
          <w:sz w:val="22"/>
          <w:szCs w:val="22"/>
        </w:rPr>
        <w:t xml:space="preserve"> ręcznie zamiast skanowania kodu kreskowego;</w:t>
      </w:r>
    </w:p>
    <w:p w14:paraId="17D80136" w14:textId="33CAD6A6" w:rsidR="009E4757" w:rsidRPr="005F0AA8" w:rsidRDefault="0006659A" w:rsidP="00D76B9C">
      <w:pPr>
        <w:pStyle w:val="Akapitzlist"/>
        <w:numPr>
          <w:ilvl w:val="2"/>
          <w:numId w:val="13"/>
        </w:numPr>
        <w:ind w:left="1134"/>
        <w:rPr>
          <w:rFonts w:cs="Times New Roman"/>
          <w:sz w:val="22"/>
          <w:szCs w:val="22"/>
        </w:rPr>
      </w:pPr>
      <w:r w:rsidRPr="005F0AA8">
        <w:rPr>
          <w:rFonts w:cs="Times New Roman"/>
          <w:sz w:val="22"/>
          <w:szCs w:val="22"/>
        </w:rPr>
        <w:t xml:space="preserve"> </w:t>
      </w:r>
      <w:r w:rsidR="009E4757" w:rsidRPr="005F0AA8">
        <w:rPr>
          <w:rFonts w:cs="Times New Roman"/>
          <w:sz w:val="22"/>
          <w:szCs w:val="22"/>
        </w:rPr>
        <w:t>podano numer kasetki/bloczka ręcznie zamiast skanowania kodu kreskowego;</w:t>
      </w:r>
    </w:p>
    <w:p w14:paraId="54B34012" w14:textId="419BAF3E" w:rsidR="009E4757" w:rsidRPr="005F0AA8" w:rsidRDefault="0006659A" w:rsidP="00D76B9C">
      <w:pPr>
        <w:pStyle w:val="Akapitzlist"/>
        <w:numPr>
          <w:ilvl w:val="2"/>
          <w:numId w:val="13"/>
        </w:numPr>
        <w:ind w:left="1134"/>
        <w:rPr>
          <w:rFonts w:cs="Times New Roman"/>
          <w:sz w:val="22"/>
          <w:szCs w:val="22"/>
        </w:rPr>
      </w:pPr>
      <w:r w:rsidRPr="005F0AA8">
        <w:rPr>
          <w:rFonts w:cs="Times New Roman"/>
          <w:sz w:val="22"/>
          <w:szCs w:val="22"/>
        </w:rPr>
        <w:t xml:space="preserve"> </w:t>
      </w:r>
      <w:r w:rsidR="009E4757" w:rsidRPr="005F0AA8">
        <w:rPr>
          <w:rFonts w:cs="Times New Roman"/>
          <w:sz w:val="22"/>
          <w:szCs w:val="22"/>
        </w:rPr>
        <w:t>podano numer preparatu ręcznie zamiast skanowania kodu kreskowego;</w:t>
      </w:r>
    </w:p>
    <w:p w14:paraId="7BADC901" w14:textId="2CB847CD" w:rsidR="009E4757" w:rsidRPr="005F0AA8" w:rsidRDefault="0006659A" w:rsidP="00D76B9C">
      <w:pPr>
        <w:pStyle w:val="Akapitzlist"/>
        <w:numPr>
          <w:ilvl w:val="2"/>
          <w:numId w:val="13"/>
        </w:numPr>
        <w:ind w:left="1134"/>
        <w:rPr>
          <w:rFonts w:cs="Times New Roman"/>
          <w:sz w:val="22"/>
          <w:szCs w:val="22"/>
        </w:rPr>
      </w:pPr>
      <w:r w:rsidRPr="005F0AA8">
        <w:rPr>
          <w:rFonts w:cs="Times New Roman"/>
          <w:sz w:val="22"/>
          <w:szCs w:val="22"/>
        </w:rPr>
        <w:t xml:space="preserve"> </w:t>
      </w:r>
      <w:r w:rsidR="009E4757" w:rsidRPr="005F0AA8">
        <w:rPr>
          <w:rFonts w:cs="Times New Roman"/>
          <w:sz w:val="22"/>
          <w:szCs w:val="22"/>
        </w:rPr>
        <w:t>podano numer skierowania ręcznie zamiast skanowania kodu kreskowego;</w:t>
      </w:r>
    </w:p>
    <w:p w14:paraId="55051CBB" w14:textId="7B8CBB55" w:rsidR="009E4757" w:rsidRPr="005F0AA8" w:rsidRDefault="0006659A" w:rsidP="00D76B9C">
      <w:pPr>
        <w:pStyle w:val="Akapitzlist"/>
        <w:numPr>
          <w:ilvl w:val="2"/>
          <w:numId w:val="13"/>
        </w:numPr>
        <w:ind w:left="1134"/>
        <w:rPr>
          <w:rFonts w:cs="Times New Roman"/>
          <w:sz w:val="22"/>
          <w:szCs w:val="22"/>
        </w:rPr>
      </w:pPr>
      <w:r w:rsidRPr="005F0AA8">
        <w:rPr>
          <w:rFonts w:cs="Times New Roman"/>
          <w:sz w:val="22"/>
          <w:szCs w:val="22"/>
        </w:rPr>
        <w:t xml:space="preserve"> </w:t>
      </w:r>
      <w:r w:rsidR="009E4757" w:rsidRPr="005F0AA8">
        <w:rPr>
          <w:rFonts w:cs="Times New Roman"/>
          <w:sz w:val="22"/>
          <w:szCs w:val="22"/>
        </w:rPr>
        <w:t>naruszenie interwału czasowego funkcji stanowiskowej zatapiania;</w:t>
      </w:r>
    </w:p>
    <w:p w14:paraId="402C0508" w14:textId="0CDD1C16" w:rsidR="009E4757" w:rsidRPr="005F0AA8" w:rsidRDefault="0006659A" w:rsidP="00D76B9C">
      <w:pPr>
        <w:pStyle w:val="Akapitzlist"/>
        <w:numPr>
          <w:ilvl w:val="2"/>
          <w:numId w:val="13"/>
        </w:numPr>
        <w:ind w:left="1134"/>
        <w:rPr>
          <w:rFonts w:cs="Times New Roman"/>
          <w:sz w:val="22"/>
          <w:szCs w:val="22"/>
        </w:rPr>
      </w:pPr>
      <w:r w:rsidRPr="005F0AA8">
        <w:rPr>
          <w:rFonts w:cs="Times New Roman"/>
          <w:sz w:val="22"/>
          <w:szCs w:val="22"/>
        </w:rPr>
        <w:t xml:space="preserve"> </w:t>
      </w:r>
      <w:r w:rsidR="009E4757" w:rsidRPr="005F0AA8">
        <w:rPr>
          <w:rFonts w:cs="Times New Roman"/>
          <w:sz w:val="22"/>
          <w:szCs w:val="22"/>
        </w:rPr>
        <w:t>naruszenie interwału czasowego funkcji stanowiskowej krojenia;</w:t>
      </w:r>
    </w:p>
    <w:p w14:paraId="73C9C83D" w14:textId="0046652B" w:rsidR="009E4757" w:rsidRPr="005F0AA8" w:rsidRDefault="0006659A" w:rsidP="00D76B9C">
      <w:pPr>
        <w:pStyle w:val="Akapitzlist"/>
        <w:numPr>
          <w:ilvl w:val="2"/>
          <w:numId w:val="13"/>
        </w:numPr>
        <w:ind w:left="1134"/>
        <w:rPr>
          <w:rFonts w:cs="Times New Roman"/>
          <w:sz w:val="22"/>
          <w:szCs w:val="22"/>
        </w:rPr>
      </w:pPr>
      <w:r w:rsidRPr="005F0AA8">
        <w:rPr>
          <w:rFonts w:cs="Times New Roman"/>
          <w:sz w:val="22"/>
          <w:szCs w:val="22"/>
        </w:rPr>
        <w:t xml:space="preserve"> </w:t>
      </w:r>
      <w:r w:rsidR="009E4757" w:rsidRPr="005F0AA8">
        <w:rPr>
          <w:rFonts w:cs="Times New Roman"/>
          <w:sz w:val="22"/>
          <w:szCs w:val="22"/>
        </w:rPr>
        <w:t>wynik ostateczny wydany po terminie oczekiwanej daty wyniku;</w:t>
      </w:r>
    </w:p>
    <w:p w14:paraId="1F13BF2D" w14:textId="03226036" w:rsidR="009E4757" w:rsidRPr="005F0AA8" w:rsidRDefault="0006659A" w:rsidP="00D76B9C">
      <w:pPr>
        <w:pStyle w:val="Akapitzlist"/>
        <w:numPr>
          <w:ilvl w:val="2"/>
          <w:numId w:val="13"/>
        </w:numPr>
        <w:ind w:left="1134"/>
        <w:rPr>
          <w:rFonts w:cs="Times New Roman"/>
          <w:sz w:val="22"/>
          <w:szCs w:val="22"/>
        </w:rPr>
      </w:pPr>
      <w:r w:rsidRPr="005F0AA8">
        <w:rPr>
          <w:rFonts w:cs="Times New Roman"/>
          <w:sz w:val="22"/>
          <w:szCs w:val="22"/>
        </w:rPr>
        <w:t xml:space="preserve"> </w:t>
      </w:r>
      <w:r w:rsidR="009E4757" w:rsidRPr="005F0AA8">
        <w:rPr>
          <w:rFonts w:cs="Times New Roman"/>
          <w:sz w:val="22"/>
          <w:szCs w:val="22"/>
        </w:rPr>
        <w:t>cofnięcie zatwierdzenia wyniku ostatecznego.</w:t>
      </w:r>
    </w:p>
    <w:p w14:paraId="5399F44B" w14:textId="63E34812"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lastRenderedPageBreak/>
        <w:t xml:space="preserve">Pole tekstowe do wpisania własnych uwag dotyczących zdarzenia kontroli jakości, np. sposobu rozwiązania niezgodności. </w:t>
      </w:r>
    </w:p>
    <w:p w14:paraId="543DBE02" w14:textId="38D3CC66"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Skierowanie uwag do osoby odpowiedzialnej w formie komunikatu systemowego i listy roboczej zgłoszeń przypisanych użytkownikowi. Osoba odpowiedzialna musi mieć możliwość udzielenia odpowiedzi na zauważone niezgodności i zamknięcia zgłoszenia.</w:t>
      </w:r>
    </w:p>
    <w:p w14:paraId="5FAF279E" w14:textId="70C52859"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Wydruk i możliwość eksportu do pliku Excel XML (lub CSV) oraz PDF rejestru zdarzeń kontroli jakości za dany okres dla danej jednostki organizacyjnej z możliwością filtracji według osoby odpowiedzialnej za zdarzenie, grupy typów zdarzeń, konkretnego typu zdarzenia, statusu zdarzenia, zlecającego i jego oddziału, daty rejestracji zdarzenia od</w:t>
      </w:r>
      <w:r w:rsidR="0042636C" w:rsidRPr="005F0AA8">
        <w:rPr>
          <w:rFonts w:cs="Times New Roman"/>
          <w:sz w:val="22"/>
          <w:szCs w:val="22"/>
        </w:rPr>
        <w:t>-</w:t>
      </w:r>
      <w:r w:rsidRPr="005F0AA8">
        <w:rPr>
          <w:rFonts w:cs="Times New Roman"/>
          <w:sz w:val="22"/>
          <w:szCs w:val="22"/>
        </w:rPr>
        <w:t>do.</w:t>
      </w:r>
    </w:p>
    <w:p w14:paraId="5D8FD0E2" w14:textId="45641C8B"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 xml:space="preserve">Kontrola losowa preparatów i kierowanie ich do weryfikacji przez zdefiniowaną osobę. </w:t>
      </w:r>
    </w:p>
    <w:p w14:paraId="714D4AEF" w14:textId="23C7FDB8"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Podpowiadanie najczęściej zgłaszanych typów zdarzeń niepożądanych do szybkiej rejestracji przez użytkownika (algorytm samouczący się).</w:t>
      </w:r>
    </w:p>
    <w:p w14:paraId="3D40B50D" w14:textId="7A7576A6"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W przypadku kontroli losowej preparatów możliwość pominięcia preparatów ze zleceń z priorytetowym trybem przyjęcia, aby nie opóźniać procesu diagnostycznego.</w:t>
      </w:r>
    </w:p>
    <w:p w14:paraId="766E81DF" w14:textId="03CA3390"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System umożliwia weryfikację, czy pracownik skanuje kod kreskowy z obiektu czy wpisuje go ręcznie. Możliwość automatycznego generowania zdarzeń kontroli jakości w takiej sytuacji.</w:t>
      </w:r>
    </w:p>
    <w:p w14:paraId="0879332A" w14:textId="3ABD8299"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System może weryfikować czy operacje pracownika na ekranach stanowiskowych następują w rytmie czasowym (interwałach) określonym wewnętrznymi przepisami kontroli jakości.  Możliwość automatycznego generowania zdarzeń kontroli jakości w sytuacji naruszenia minimalnego interwału czasowego.</w:t>
      </w:r>
    </w:p>
    <w:p w14:paraId="3BFBEBAB" w14:textId="41549247" w:rsidR="00F7561F" w:rsidRPr="005F0AA8" w:rsidRDefault="00F7561F" w:rsidP="0006659A">
      <w:pPr>
        <w:pStyle w:val="Akapitzlist"/>
        <w:numPr>
          <w:ilvl w:val="1"/>
          <w:numId w:val="13"/>
        </w:numPr>
        <w:ind w:left="567"/>
        <w:jc w:val="both"/>
        <w:rPr>
          <w:rFonts w:cs="Times New Roman"/>
          <w:sz w:val="22"/>
          <w:szCs w:val="22"/>
        </w:rPr>
      </w:pPr>
      <w:r w:rsidRPr="005F0AA8">
        <w:rPr>
          <w:rFonts w:cs="Times New Roman"/>
          <w:sz w:val="22"/>
          <w:szCs w:val="22"/>
        </w:rPr>
        <w:t>System umożliwia zastąpienie daty terminowości automatycznie wyliczonej na podstawie przyjętych reguł poprzez ręczną zmianę oczekiwanej daty wyniku dla zlecającego i diagnozującego w konkretnym pakiecie badań</w:t>
      </w:r>
    </w:p>
    <w:p w14:paraId="0597AD5C" w14:textId="6AB717CC" w:rsidR="003F0831" w:rsidRPr="005F0AA8" w:rsidRDefault="003F0831" w:rsidP="0006659A">
      <w:pPr>
        <w:pStyle w:val="Akapitzlist"/>
        <w:numPr>
          <w:ilvl w:val="1"/>
          <w:numId w:val="13"/>
        </w:numPr>
        <w:ind w:left="567"/>
        <w:jc w:val="both"/>
        <w:rPr>
          <w:rFonts w:cs="Times New Roman"/>
          <w:sz w:val="22"/>
          <w:szCs w:val="22"/>
        </w:rPr>
      </w:pPr>
      <w:r w:rsidRPr="005F0AA8">
        <w:rPr>
          <w:rFonts w:cs="Times New Roman"/>
          <w:sz w:val="22"/>
          <w:szCs w:val="22"/>
        </w:rPr>
        <w:t>Raport terminowości (liczony względem oczekiwanej daty wyniku dla zlecającego) dla wybranej grupy badań wyfiltrowanej wg możliwych parametrów jednostki organizacyjnej,  odpowiedzianego (lekarza za przypadek), zlecającego i jego oddziału, znaczników zlecającego oraz pakietu badań, daty rejestracji oraz zatwierdzenia, oczekiwanej daty wyniku, statusu zatwierdzenia, trybu przyjęcia, projektu, ścieżki klinicznej, topografii, wykrycia nowotworu złośliwego, typu badania, materiału, podtypu materiału, lekarza kierującego, statusu terminowości. Raport powinien zawierać kolumny: numer pakietu badań, imię i nazwisko pacjenta (opcjonalnie jego ID), odpowiedzialny za przypadek, zlecający</w:t>
      </w:r>
      <w:r w:rsidR="00122AD5" w:rsidRPr="005F0AA8">
        <w:rPr>
          <w:rFonts w:cs="Times New Roman"/>
          <w:sz w:val="22"/>
          <w:szCs w:val="22"/>
        </w:rPr>
        <w:t>,</w:t>
      </w:r>
      <w:r w:rsidRPr="005F0AA8">
        <w:rPr>
          <w:rFonts w:cs="Times New Roman"/>
          <w:sz w:val="22"/>
          <w:szCs w:val="22"/>
        </w:rPr>
        <w:t xml:space="preserve"> data rejestracji, data przekazania odpowiedzialnemu, oczekiwana data wyniku, data wyniku (zatwierdzenia przypadku), czas diagnostyki w dniach, status nowotworu złośliwego (tak/nie), czy przypadek został zakończony w terminie. Raport powinien zawierać w podsumowaniu sumę wyszukanych przypadków, ilość przypadków w terminie, ilość przypadków poniżej 24 godzin do przeterminowania, ilość przeterminowanych przypadków oraz z nie określonym czasem. Dodatkowo podsumowanie prezentuje statystykę czasu obróbki technicznej, czasu diagnostyki oraz czas całościowy z podziałem na ilość dni: średnia, minimalna, maksymalna, mediana.</w:t>
      </w:r>
    </w:p>
    <w:p w14:paraId="30EC66D6" w14:textId="0EAB7AE1" w:rsidR="003F0831" w:rsidRPr="005F0AA8" w:rsidRDefault="003F0831" w:rsidP="0006659A">
      <w:pPr>
        <w:pStyle w:val="Akapitzlist"/>
        <w:numPr>
          <w:ilvl w:val="1"/>
          <w:numId w:val="13"/>
        </w:numPr>
        <w:ind w:left="567"/>
        <w:jc w:val="both"/>
        <w:rPr>
          <w:rFonts w:cs="Times New Roman"/>
          <w:sz w:val="22"/>
          <w:szCs w:val="22"/>
        </w:rPr>
      </w:pPr>
      <w:r w:rsidRPr="005F0AA8">
        <w:rPr>
          <w:rFonts w:cs="Times New Roman"/>
          <w:sz w:val="22"/>
          <w:szCs w:val="22"/>
        </w:rPr>
        <w:t>Raport terminowości (liczony względem oczekiwanej daty wyniku dla diagnozującego) dla wybranej grupy badań wyfiltrowanej wg możliwych parametrów jednostki organizacyjnej,  odpowiedzianego (lekarza za przypadek), zlecającego i jego oddziału, znaczników zlecającego oraz pakietu badań, daty rejestracji oraz zatwierdzenia, oczekiwanej daty wyniku, statusu zatwierdzenia, trybu przyjęcia, projektu, ścieżki klinicznej, topografii, wykrycia nowotworu złośliwego, typu badania, materiału, podtypu materiału, lekarza kierującego, statusu terminowości. Raport powinien zawierać kolumny: numer pakietu badań, imię i nazwisko pacjenta (opcjonalnie jego ID), odpowiedzialny za przypadek, zlecający</w:t>
      </w:r>
      <w:r w:rsidR="00122AD5" w:rsidRPr="005F0AA8">
        <w:rPr>
          <w:rFonts w:cs="Times New Roman"/>
          <w:sz w:val="22"/>
          <w:szCs w:val="22"/>
        </w:rPr>
        <w:t>,</w:t>
      </w:r>
      <w:r w:rsidRPr="005F0AA8">
        <w:rPr>
          <w:rFonts w:cs="Times New Roman"/>
          <w:sz w:val="22"/>
          <w:szCs w:val="22"/>
        </w:rPr>
        <w:t xml:space="preserve"> data rejestracji, data przekazania odpowiedzialnemu, oczekiwana data wyniku, data wyniku (zatwierdzenia przypadku), czas diagnostyki w dniach, status nowotworu złośliwego (tak/nie), czy przypadek </w:t>
      </w:r>
      <w:r w:rsidRPr="005F0AA8">
        <w:rPr>
          <w:rFonts w:cs="Times New Roman"/>
          <w:sz w:val="22"/>
          <w:szCs w:val="22"/>
        </w:rPr>
        <w:lastRenderedPageBreak/>
        <w:t>został zakończony w terminie. Raport powinien zawierać w podsumowaniu sumę wyszukanych przypadków, ilość przypadków w terminie, ilość przypadków poniżej 24 godzin do przeterminowania, ilość przeterminowanych przypadków oraz z nie określonym czasem. Dodatkowo podsumowanie prezentuje statystykę czasu obróbki technicznej, czasu diagnostyki oraz czas całościowy z podziałem na ilość dni: średnia, minimalna, maksymalna, mediana.</w:t>
      </w:r>
    </w:p>
    <w:p w14:paraId="0AB1999F" w14:textId="01E20028" w:rsidR="003F0831" w:rsidRPr="005F0AA8" w:rsidRDefault="003F0831" w:rsidP="0006659A">
      <w:pPr>
        <w:pStyle w:val="Akapitzlist"/>
        <w:numPr>
          <w:ilvl w:val="1"/>
          <w:numId w:val="13"/>
        </w:numPr>
        <w:ind w:left="567"/>
        <w:jc w:val="both"/>
        <w:rPr>
          <w:rFonts w:cs="Times New Roman"/>
          <w:sz w:val="22"/>
          <w:szCs w:val="22"/>
        </w:rPr>
      </w:pPr>
      <w:r w:rsidRPr="005F0AA8">
        <w:rPr>
          <w:rFonts w:cs="Times New Roman"/>
          <w:sz w:val="22"/>
          <w:szCs w:val="22"/>
        </w:rPr>
        <w:t>Raport terminowości (analiza czasu trwania badania) dla wybranej grupy badań wyfiltrowanej wg możliwych parametrów odpowiedzianego (lekarza za przypadek), zlecającego i jego oddziału, znaczników zlecającego oraz pakietu badań, daty rejestracji oraz zatwierdzenia, oczekiwanej daty wyniku, statusu zatwierdzenia, trybu przyjęcia, projektu, ścieżki klinicznej, topografii, wykrycia nowotworu złośliwego, typu badania, materiału, podtypu materiału, lekarza kierującego, statusu terminowości. Raport powinien zawierać kolumny: numer pakietu badań, imię i nazwisko pacjenta (opcjonalnie jego ID), odpowiedzialny za przypadek, zlecający</w:t>
      </w:r>
      <w:r w:rsidR="00122AD5" w:rsidRPr="005F0AA8">
        <w:rPr>
          <w:rFonts w:cs="Times New Roman"/>
          <w:sz w:val="22"/>
          <w:szCs w:val="22"/>
        </w:rPr>
        <w:t>,</w:t>
      </w:r>
      <w:r w:rsidRPr="005F0AA8">
        <w:rPr>
          <w:rFonts w:cs="Times New Roman"/>
          <w:sz w:val="22"/>
          <w:szCs w:val="22"/>
        </w:rPr>
        <w:t xml:space="preserve"> data rejestracji, data przekazania odpowiedzialnemu, oczekiwana data wyniku, data wyniku (zatwierdzenia przypadku), czas diagnostyki w dniach, status nowotworu złośliwego (tak/nie), czy przypadek został zakończony w terminie. Raport powinien zawierać w podsumowaniu sumę wyszukanych przypadków, ilość przypadków w terminie, ilość przypadków poniżej 24 godzin do przeterminowania, ilość przeterminowanych przypadków oraz z nie określonym czasem. Dodatkowo podsumowanie prezentuje statystykę czasu obróbki technicznej, czasu diagnostyki oraz czas całościowy z podziałem na ilość dni: średnia, minimalna, maksymalna, mediana.</w:t>
      </w:r>
    </w:p>
    <w:p w14:paraId="51072A18" w14:textId="3DE3A2FC" w:rsidR="003F0831" w:rsidRPr="005F0AA8" w:rsidRDefault="003F0831" w:rsidP="0006659A">
      <w:pPr>
        <w:pStyle w:val="Akapitzlist"/>
        <w:numPr>
          <w:ilvl w:val="1"/>
          <w:numId w:val="13"/>
        </w:numPr>
        <w:ind w:left="567"/>
        <w:jc w:val="both"/>
        <w:rPr>
          <w:rFonts w:cs="Times New Roman"/>
          <w:sz w:val="22"/>
          <w:szCs w:val="22"/>
        </w:rPr>
      </w:pPr>
      <w:r w:rsidRPr="005F0AA8">
        <w:rPr>
          <w:rFonts w:cs="Times New Roman"/>
          <w:sz w:val="22"/>
          <w:szCs w:val="22"/>
        </w:rPr>
        <w:t xml:space="preserve">Raport terminowości badań śródoperacyjnych (liczony od daty otrzymania materiału do daty przekazania rozpoznania) filtrowany według kryteriów jednostki organizacyjnej, daty otrzymania materiału oraz odpowiedzialnego za przypadek. Raporty powinien zawierać kolumny: numer pakietu badań, jednostka organizacyjna, odpowiedzialny, data otrzymania materiału, data przekazania rozpoznania, czas trwania badania. Raport powinien zawierać w podsumowaniu średni czas diagnostyki oraz medianę, czas trwania, liczbę </w:t>
      </w:r>
      <w:proofErr w:type="spellStart"/>
      <w:r w:rsidRPr="005F0AA8">
        <w:rPr>
          <w:rFonts w:cs="Times New Roman"/>
          <w:sz w:val="22"/>
          <w:szCs w:val="22"/>
        </w:rPr>
        <w:t>rozpoznań</w:t>
      </w:r>
      <w:proofErr w:type="spellEnd"/>
      <w:r w:rsidRPr="005F0AA8">
        <w:rPr>
          <w:rFonts w:cs="Times New Roman"/>
          <w:sz w:val="22"/>
          <w:szCs w:val="22"/>
        </w:rPr>
        <w:t xml:space="preserve"> oraz narastający procent </w:t>
      </w:r>
      <w:proofErr w:type="spellStart"/>
      <w:r w:rsidRPr="005F0AA8">
        <w:rPr>
          <w:rFonts w:cs="Times New Roman"/>
          <w:sz w:val="22"/>
          <w:szCs w:val="22"/>
        </w:rPr>
        <w:t>rozpoznań</w:t>
      </w:r>
      <w:proofErr w:type="spellEnd"/>
      <w:r w:rsidRPr="005F0AA8">
        <w:rPr>
          <w:rFonts w:cs="Times New Roman"/>
          <w:sz w:val="22"/>
          <w:szCs w:val="22"/>
        </w:rPr>
        <w:t>. Raporty powinny prezentować wykresy ilościowe wg wybranego interwału.</w:t>
      </w:r>
    </w:p>
    <w:p w14:paraId="0426A262" w14:textId="249ED19F" w:rsidR="003F0831" w:rsidRPr="005F0AA8" w:rsidRDefault="003F0831" w:rsidP="0006659A">
      <w:pPr>
        <w:pStyle w:val="Akapitzlist"/>
        <w:numPr>
          <w:ilvl w:val="1"/>
          <w:numId w:val="13"/>
        </w:numPr>
        <w:ind w:left="567"/>
        <w:jc w:val="both"/>
        <w:rPr>
          <w:rFonts w:cs="Times New Roman"/>
          <w:sz w:val="22"/>
          <w:szCs w:val="22"/>
        </w:rPr>
      </w:pPr>
      <w:r w:rsidRPr="005F0AA8">
        <w:rPr>
          <w:rFonts w:cs="Times New Roman"/>
          <w:sz w:val="22"/>
          <w:szCs w:val="22"/>
        </w:rPr>
        <w:t>Raport czasu wykonania badań (analiza czasu od daty rejestracji do wykrawania) dla wybranej grupy badań wyfiltrowanej wg możliwych parametrów (jednostka organizacyjna, zlecający i jego oddział, znacznik zlecającego, data rejestracji, tryb przyjęcia,  projekt, ścieżka kliniczna, typ i podtyp materiału, lekarz kierujący). Raport powinien zawierać kolumny: numer pakietu badań, imię i nazwisko pacjenta (opcjonalnie jego ID), zlecający, data rejestracji, data wykrawania, czas trwania (dni od daty rejestracji do wykrawania).</w:t>
      </w:r>
    </w:p>
    <w:p w14:paraId="5646D898" w14:textId="172372AE" w:rsidR="003F0831" w:rsidRPr="005F0AA8" w:rsidRDefault="003F0831" w:rsidP="0006659A">
      <w:pPr>
        <w:pStyle w:val="Akapitzlist"/>
        <w:numPr>
          <w:ilvl w:val="1"/>
          <w:numId w:val="13"/>
        </w:numPr>
        <w:ind w:left="567"/>
        <w:jc w:val="both"/>
        <w:rPr>
          <w:rFonts w:cs="Times New Roman"/>
          <w:sz w:val="22"/>
          <w:szCs w:val="22"/>
        </w:rPr>
      </w:pPr>
      <w:r w:rsidRPr="005F0AA8">
        <w:rPr>
          <w:rFonts w:cs="Times New Roman"/>
          <w:sz w:val="22"/>
          <w:szCs w:val="22"/>
        </w:rPr>
        <w:t>Raport czasu wykonania badań (analiza czasu od daty utrwalenia do wykrawania) dla wybranej grupy badań wyfiltrowanej wg możliwych parametrów (jednostka organizacyjna, zlecający i jego oddział, znacznik zlecającego, data rejestracji, tryb przyjęcia,  projekt, ścieżka kliniczna, typ i podtyp materiału, lekarz kierujący, status terminowości). Raport powinien zawierać kolumny: numer pakietu badań, imię i nazwisko pacjenta (opcjonalnie jego ID), zlecający, materiał, data pobrania/zabiegu, data utrwalenia, data otrzymania i rejestracji, dopuszczalna data wykrawania, data wykrawania, status terminowości, czas utrwalania (dni od daty utrwalenia do wykrawania).</w:t>
      </w:r>
    </w:p>
    <w:p w14:paraId="1F406EDC" w14:textId="7C51AB39" w:rsidR="003F0831" w:rsidRPr="005F0AA8" w:rsidRDefault="003F0831" w:rsidP="0006659A">
      <w:pPr>
        <w:pStyle w:val="Akapitzlist"/>
        <w:numPr>
          <w:ilvl w:val="1"/>
          <w:numId w:val="13"/>
        </w:numPr>
        <w:ind w:left="567"/>
        <w:jc w:val="both"/>
        <w:rPr>
          <w:rFonts w:cs="Times New Roman"/>
          <w:sz w:val="22"/>
          <w:szCs w:val="22"/>
        </w:rPr>
      </w:pPr>
      <w:r w:rsidRPr="005F0AA8">
        <w:rPr>
          <w:rFonts w:cs="Times New Roman"/>
          <w:sz w:val="22"/>
          <w:szCs w:val="22"/>
        </w:rPr>
        <w:t xml:space="preserve">Raporty wydajności personelu: rejestracja przypadków i materiałów, pobieranie materiału do kasetek (wg lekarza pobierającego i technika pobierającego), zatapianie kasetek, krojenie preparatów, barwienie preparatów (także wg typu preparatu), kompletacja preparatów, liczba przypadków/osoba odpowiedzialna, liczba skompletowanych preparatów/osoba odpowiedzialna, zeskanowane preparaty. Raporty muszą umożliwiać analizę w ujęciu godzinowym, dziennym i miesięcznym. Raporty muszą być wykonywane wg kryteriów: data wykonania czynności/ rejestracji czynności, zlecający, oddział, osoba wykonująca, jednostka organizacyjna, interwał. Raporty powinny zawierać kolumny: osoba wykonująca, rodzaj materiału/badania (w zależności </w:t>
      </w:r>
      <w:r w:rsidRPr="005F0AA8">
        <w:rPr>
          <w:rFonts w:cs="Times New Roman"/>
          <w:sz w:val="22"/>
          <w:szCs w:val="22"/>
        </w:rPr>
        <w:lastRenderedPageBreak/>
        <w:t>od raportu), liczba przypadków/ materiałów/ badań/ preparatów (w zależności od raportu). Raporty powinny prezentować wykresy ilościowe wg wybranego interwału.</w:t>
      </w:r>
    </w:p>
    <w:p w14:paraId="1E838FE4" w14:textId="22A741E5" w:rsidR="000C1B21"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 xml:space="preserve">Automatyczne, dynamiczne wyznaczanie daty oczekiwanego wyniku na podstawie reguł terminowości dotyczących zleceniodawców oraz personelu diagnostycznego. Kryteria powinny zawierać jednostkę wykonującą, zleceniodawcę, typ materiału, badania, preparatu, etapu procesu, tryb przyjęcia, projekt, ścieżkę kliniczną, profil cennika, liczbę badań, liczbę preparatów, zlecenia </w:t>
      </w:r>
      <w:proofErr w:type="spellStart"/>
      <w:r w:rsidRPr="005F0AA8">
        <w:rPr>
          <w:rFonts w:cs="Times New Roman"/>
          <w:sz w:val="22"/>
          <w:szCs w:val="22"/>
        </w:rPr>
        <w:t>barwień</w:t>
      </w:r>
      <w:proofErr w:type="spellEnd"/>
      <w:r w:rsidRPr="005F0AA8">
        <w:rPr>
          <w:rFonts w:cs="Times New Roman"/>
          <w:sz w:val="22"/>
          <w:szCs w:val="22"/>
        </w:rPr>
        <w:t xml:space="preserve"> dodatkowych, </w:t>
      </w:r>
      <w:proofErr w:type="spellStart"/>
      <w:r w:rsidRPr="005F0AA8">
        <w:rPr>
          <w:rFonts w:cs="Times New Roman"/>
          <w:sz w:val="22"/>
          <w:szCs w:val="22"/>
        </w:rPr>
        <w:t>odwapniaczy</w:t>
      </w:r>
      <w:proofErr w:type="spellEnd"/>
      <w:r w:rsidRPr="005F0AA8">
        <w:rPr>
          <w:rFonts w:cs="Times New Roman"/>
          <w:sz w:val="22"/>
          <w:szCs w:val="22"/>
        </w:rPr>
        <w:t>, dodatkowych konsultacji itp.</w:t>
      </w:r>
    </w:p>
    <w:p w14:paraId="5394A727" w14:textId="77777777" w:rsidR="000C1B21" w:rsidRPr="005F0AA8" w:rsidRDefault="009E4757" w:rsidP="0006659A">
      <w:pPr>
        <w:pStyle w:val="Akapitzlist"/>
        <w:ind w:left="567"/>
        <w:jc w:val="both"/>
        <w:rPr>
          <w:rFonts w:cs="Times New Roman"/>
          <w:sz w:val="22"/>
          <w:szCs w:val="22"/>
        </w:rPr>
      </w:pPr>
      <w:r w:rsidRPr="005F0AA8">
        <w:rPr>
          <w:rFonts w:cs="Times New Roman"/>
          <w:sz w:val="22"/>
          <w:szCs w:val="22"/>
        </w:rPr>
        <w:t>Wyznaczanie terminowości dla personelu diagnostycznego dodatkowo pozwala na odrębne ustalenie oczekiwanego terminu wyniku wstępnego oraz ostatecznego obliczanego od daty rejestracji pakietu badań lub daty zakończenia procesu technicznego, lub daty przekazania przypadku odpowiedzialnemu.</w:t>
      </w:r>
    </w:p>
    <w:p w14:paraId="78ED1409" w14:textId="37B5C6B4" w:rsidR="009E4757" w:rsidRPr="005F0AA8" w:rsidRDefault="009E4757" w:rsidP="0006659A">
      <w:pPr>
        <w:pStyle w:val="Akapitzlist"/>
        <w:ind w:left="567"/>
        <w:jc w:val="both"/>
        <w:rPr>
          <w:rFonts w:cs="Times New Roman"/>
          <w:sz w:val="22"/>
          <w:szCs w:val="22"/>
        </w:rPr>
      </w:pPr>
      <w:r w:rsidRPr="005F0AA8">
        <w:rPr>
          <w:rFonts w:cs="Times New Roman"/>
          <w:sz w:val="22"/>
          <w:szCs w:val="22"/>
        </w:rPr>
        <w:t>Data oczekiwanego wyniku powinna się wyznaczać i modyfikować na bieżąco od rozpoczęcia pierwszych prac nad przypadkiem. Reguły powinny określać bazowy czas lub wydłużenie czasu względem czasu bazowego. Czas powinien móc być określany w minutach i dniach (zarówno kalendarzowych, jak i roboczych).</w:t>
      </w:r>
    </w:p>
    <w:p w14:paraId="3A268B0A" w14:textId="681658F6"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Lista robocza kontroli jakości – przedstawiająca zdarzenia, za które odpowiada dany użytkownik. Lista filtrowana wg osoby odpowiedzialnej, grupy typu zdarzenia, typu zdarzenia, statusu zdarzenia (np. otwarte, rozwiązane, niemożliwe do rozwiązania), zlecającego, oddziału, daty rejestracji zdarzenia.</w:t>
      </w:r>
    </w:p>
    <w:p w14:paraId="7A338974" w14:textId="502E1169"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Kalendarz kierownika – pozwalający na manualne określenie dni wolnych na potrzeby obliczania terminowości (jeżeli w danej regule liczona w dniach roboczych) oraz osób odpowiedzialnych za prowadzenie losowej kontroli preparatów w danym dniu. Możliwość automatycznego definiowania dni wolnych na dany rok, zgodnie z obowiązującą w Polsce listą dni wolnych od pracy.</w:t>
      </w:r>
    </w:p>
    <w:p w14:paraId="6308A4A5" w14:textId="0638CB57" w:rsidR="009E4757" w:rsidRPr="005F0AA8" w:rsidRDefault="009E4757" w:rsidP="009A6A8E">
      <w:pPr>
        <w:pStyle w:val="Nagwek1"/>
        <w:numPr>
          <w:ilvl w:val="0"/>
          <w:numId w:val="13"/>
        </w:numPr>
        <w:rPr>
          <w:rFonts w:cs="Times New Roman"/>
          <w:color w:val="auto"/>
          <w:sz w:val="22"/>
          <w:szCs w:val="22"/>
        </w:rPr>
      </w:pPr>
      <w:bookmarkStart w:id="9" w:name="_Toc194396360"/>
      <w:r w:rsidRPr="005F0AA8">
        <w:rPr>
          <w:rFonts w:cs="Times New Roman"/>
          <w:color w:val="auto"/>
          <w:sz w:val="22"/>
          <w:szCs w:val="22"/>
        </w:rPr>
        <w:t>Obsługa stanowisk z dedykowanymi ekranami stanowiskowymi do współpracy z czytnikami kodów</w:t>
      </w:r>
      <w:bookmarkEnd w:id="9"/>
    </w:p>
    <w:p w14:paraId="7E55AC9F" w14:textId="77777777" w:rsidR="0006659A" w:rsidRPr="005F0AA8" w:rsidRDefault="0006659A" w:rsidP="0006659A">
      <w:pPr>
        <w:rPr>
          <w:rFonts w:cs="Times New Roman"/>
          <w:sz w:val="22"/>
          <w:szCs w:val="22"/>
        </w:rPr>
      </w:pPr>
    </w:p>
    <w:p w14:paraId="5DA12EF9" w14:textId="76CAFAF2"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Ekrany stanowiskowe wykorzystują sygnalizację dźwiękową, umożliwiającą pracę „bezwzrokowo” z czytnikiem kodów.</w:t>
      </w:r>
    </w:p>
    <w:p w14:paraId="0B93E8EB" w14:textId="152B7CC1"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Stanowisko rejestracji materiału diagnostycznego - kompletacja i wysyłka kontenerów z przesyłkami materiału diagnostycznego po stronie zlecającego</w:t>
      </w:r>
    </w:p>
    <w:p w14:paraId="445B2669" w14:textId="7FD2A82C" w:rsidR="009E4757" w:rsidRPr="005F0AA8" w:rsidRDefault="0006659A" w:rsidP="00D76B9C">
      <w:pPr>
        <w:pStyle w:val="Akapitzlist"/>
        <w:numPr>
          <w:ilvl w:val="2"/>
          <w:numId w:val="13"/>
        </w:numPr>
        <w:ind w:left="1134"/>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Zarejestrowanie zleceń w systemie, generowanie skierowań i przyporządkowanie kodów do pojemnika/ów z materiałem lub szkiełek z rozmazem przypisanych do określonego miejsca pobrania. Obsługa różnego rodzaju zleceń, np. cytologia, histopatologia, konsultacja  itp. Typy rejestrowanych materiałów oraz formularz zlecenia z polami definiowanymi przez uprawnionego użytkownika zależą od wybranego rodzaju zlecenia i jednostki wykonującej.</w:t>
      </w:r>
    </w:p>
    <w:p w14:paraId="77DD55F8" w14:textId="131F1FF6"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 xml:space="preserve">Dodanie do kontenera z przesyłką zarejestrowanych materiałów diagnostycznych poprzez zeskanowanie kodu ze skierowania, do którego zostały przypisane, lub ręczne wprowadzenie numeru skierowania. </w:t>
      </w:r>
    </w:p>
    <w:p w14:paraId="01380468" w14:textId="013A79CC"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Zatwierdzenie („zamknięcie”) przesyłki wraz z wpisaniem numeru listu przewozowego firmy kurierskiej lub oznaczenie transportu we własnym zakresie.</w:t>
      </w:r>
    </w:p>
    <w:p w14:paraId="5D0DC041" w14:textId="7686DFDA"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Możliwość wydruku listy skierowań i materiałów składających się na daną przesyłkę.</w:t>
      </w:r>
    </w:p>
    <w:p w14:paraId="73955979" w14:textId="2267A3F7"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Możliwość podejrzenia ewentualnych uwag dotyczących kompletności i zawartości przesyłki, które wprowadził zakład patomorfologii.</w:t>
      </w:r>
    </w:p>
    <w:p w14:paraId="439676C9" w14:textId="2A896C18"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Stanowisko przyjęć materiału</w:t>
      </w:r>
    </w:p>
    <w:p w14:paraId="7E57D25C" w14:textId="1662838B"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lastRenderedPageBreak/>
        <w:t>Dla zleceń zleconych w systemie na stanowisku rejestracji materiałów lub poprzez integracje HL7 z obsługą próbek powiązanych ze zleceniem: weryfikacja kompletności skanerem kodów.</w:t>
      </w:r>
      <w:r w:rsidRPr="005F0AA8">
        <w:rPr>
          <w:rFonts w:cs="Times New Roman"/>
          <w:sz w:val="22"/>
          <w:szCs w:val="22"/>
        </w:rPr>
        <w:tab/>
      </w:r>
    </w:p>
    <w:p w14:paraId="0A2E0F5B" w14:textId="0046EA69"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Dla zleceń niezleconych w systemie (rejestrowanych ręcznie lub poprzez integracje HL7 bez obsługi próbek powiązanych ze zleceniem): rejestracja pacjenta oraz nadanie i wydruk etykiet z kodami kreskowymi na skierowanie i pojemniki z materiałem.</w:t>
      </w:r>
    </w:p>
    <w:p w14:paraId="240FDA52" w14:textId="562ABB77"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Możliwość wprowadzenia uwag dotyczących kompletności i zawartości przesyłki, które będzie widział zleceniodawca w kontekście przesyłki na stanowisku rejestracji materiału.</w:t>
      </w:r>
    </w:p>
    <w:p w14:paraId="0F37417A" w14:textId="5258D6FC"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Skanowanie dostarczonego skierowania, jeśli jest w wersji papierowej w celu załączenia jako obrazu do badania pacjenta. Funkcjonalność skanowania musi być wywoływana wprost z oferowanego systemu, a skan musi być podpinany kontekstowo pod odpowiedni obiekt (skierowanie/przypadek), niezależnie od liczby stron.</w:t>
      </w:r>
    </w:p>
    <w:p w14:paraId="55D795F3" w14:textId="54E71233"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Możliwość korekty danych pacjenta otrzymanych w ramach zlecenia elektronicznego ze zintegrowanego systemu tylko przez uprawnionego użytkownika.</w:t>
      </w:r>
    </w:p>
    <w:p w14:paraId="4AA060B2" w14:textId="31626CAB"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Możliwość anulowania (odrzucenia) zlecenia wraz z koniecznością podania powodu.</w:t>
      </w:r>
    </w:p>
    <w:p w14:paraId="05AA6934" w14:textId="20217E84"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Stanowisko wykrawania (pobierania) materiału</w:t>
      </w:r>
    </w:p>
    <w:p w14:paraId="7592AFE0" w14:textId="2A9E0434"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Skanowanie pojemnika z materiałem w celu wywołania w systemie badania pacjenta. W otwierającym się oknie widoczne są dane pacjenta oraz skierowanie i/ lub jego obraz.</w:t>
      </w:r>
      <w:r w:rsidRPr="005F0AA8">
        <w:rPr>
          <w:rFonts w:cs="Times New Roman"/>
          <w:sz w:val="22"/>
          <w:szCs w:val="22"/>
        </w:rPr>
        <w:tab/>
      </w:r>
    </w:p>
    <w:p w14:paraId="1772293A" w14:textId="6F6396FF"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Nadawanie numeru badania histologicznego (bloczka), kolejnego w czasie trwania procesu pobierania z zabezpieczeniem przed wykorzystaniem tego samego numeru ponownie.</w:t>
      </w:r>
    </w:p>
    <w:p w14:paraId="11A44B7F" w14:textId="0AACEB32"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Przypisanie materiału do lekarza pobierającego wybieranego z listy lekarzy (domyślny ostatni wybór). Zapisanie w systemie informacji o osobie pobierającej oraz asystującym mu techniku.</w:t>
      </w:r>
    </w:p>
    <w:p w14:paraId="66F10E2B" w14:textId="2AF2EFD3"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Wprowadzanie opisu makroskopowego dla każdego dostarczonego materiału – dowolnej treści lub z dostępnych szablonów tekstowych, lub sformalizowanych. Szablony sformalizowane mogą być tworzone w dowolnej liczbie przez uprawnionego użytkownika.  Szablony sformalizowane powinny móc zawierać typy pól: wyboru (</w:t>
      </w:r>
      <w:proofErr w:type="spellStart"/>
      <w:r w:rsidRPr="005F0AA8">
        <w:rPr>
          <w:rFonts w:cs="Times New Roman"/>
          <w:sz w:val="22"/>
          <w:szCs w:val="22"/>
        </w:rPr>
        <w:t>checkbox</w:t>
      </w:r>
      <w:proofErr w:type="spellEnd"/>
      <w:r w:rsidRPr="005F0AA8">
        <w:rPr>
          <w:rFonts w:cs="Times New Roman"/>
          <w:sz w:val="22"/>
          <w:szCs w:val="22"/>
        </w:rPr>
        <w:t xml:space="preserve">), słownikowe, numeryczne (z określoną precyzją po przecinku), tekstowe, daty/czasu, ukrywane/pokazywane w zależności od pozostałych pól i ich kombinacji, obliczane automatycznie na podstawie innych pól i ich kombinacji,  a także automatycznie generować tekstowy opis makroskopowy zgodnie z wybranymi/wypełnionymi polami formularza. Funkcjonalność formularzy  musi być wbudowana w oferowane rozwiązanie, bez konieczności dokupowania/wykorzystania dodatkowych modułów lub aplikacji (w tym zintegrowanych). </w:t>
      </w:r>
    </w:p>
    <w:p w14:paraId="48B968F4" w14:textId="017CA906" w:rsidR="009E4757" w:rsidRPr="005F0AA8" w:rsidRDefault="009E4757" w:rsidP="00D76B9C">
      <w:pPr>
        <w:pStyle w:val="Akapitzlist"/>
        <w:numPr>
          <w:ilvl w:val="3"/>
          <w:numId w:val="13"/>
        </w:numPr>
        <w:ind w:left="1843"/>
        <w:jc w:val="both"/>
        <w:rPr>
          <w:rFonts w:cs="Times New Roman"/>
          <w:sz w:val="22"/>
          <w:szCs w:val="22"/>
        </w:rPr>
      </w:pPr>
      <w:r w:rsidRPr="005F0AA8">
        <w:rPr>
          <w:rFonts w:cs="Times New Roman"/>
          <w:sz w:val="22"/>
          <w:szCs w:val="22"/>
        </w:rPr>
        <w:t>Możliwość dołączenia zdjęcia obrazu makroskopowego pobranego w kontekście wykrawanego materiału z systemu dokumentacji makroskopowej.</w:t>
      </w:r>
    </w:p>
    <w:p w14:paraId="7F94CE23" w14:textId="757731BA" w:rsidR="000C1B21"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 xml:space="preserve">Wprowadzanie uwag tekstowych istotnych dla osób zajmujących się materiałem na dalszych etapach procesu (zatapianie i krojenie). </w:t>
      </w:r>
    </w:p>
    <w:p w14:paraId="46700B9D" w14:textId="11CB71EC" w:rsidR="00CC6841" w:rsidRPr="005F0AA8" w:rsidRDefault="009E4757" w:rsidP="00D76B9C">
      <w:pPr>
        <w:pStyle w:val="Akapitzlist"/>
        <w:numPr>
          <w:ilvl w:val="3"/>
          <w:numId w:val="13"/>
        </w:numPr>
        <w:ind w:left="1843"/>
        <w:jc w:val="both"/>
        <w:rPr>
          <w:rFonts w:cs="Times New Roman"/>
          <w:sz w:val="22"/>
          <w:szCs w:val="22"/>
        </w:rPr>
      </w:pPr>
      <w:r w:rsidRPr="005F0AA8">
        <w:rPr>
          <w:rFonts w:cs="Times New Roman"/>
          <w:sz w:val="22"/>
          <w:szCs w:val="22"/>
        </w:rPr>
        <w:t>Sygnalizacja dźwiękowa w ekranach stanowiskowych, jeżeli uwaga jest wpisana.</w:t>
      </w:r>
    </w:p>
    <w:p w14:paraId="3C01A72F" w14:textId="400A06B7"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 xml:space="preserve">Możliwość zdefiniowania stałych zleceń (np. kompletu rutynowych </w:t>
      </w:r>
      <w:proofErr w:type="spellStart"/>
      <w:r w:rsidRPr="005F0AA8">
        <w:rPr>
          <w:rFonts w:cs="Times New Roman"/>
          <w:sz w:val="22"/>
          <w:szCs w:val="22"/>
        </w:rPr>
        <w:t>barwień</w:t>
      </w:r>
      <w:proofErr w:type="spellEnd"/>
      <w:r w:rsidRPr="005F0AA8">
        <w:rPr>
          <w:rFonts w:cs="Times New Roman"/>
          <w:sz w:val="22"/>
          <w:szCs w:val="22"/>
        </w:rPr>
        <w:t>) dla określonych rodzajów badań. Zlecenia stałe przypisywane do bloczka z dostępnej, edytowalnej listy. Wydruk zdefiniowanych szkiełek w odpowiedniej ilości następuje po zeskanowaniu bloczka na stanowisku krojenia.</w:t>
      </w:r>
    </w:p>
    <w:p w14:paraId="26777AEF" w14:textId="67BABAF3"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 xml:space="preserve">Funkcja śledzenia </w:t>
      </w:r>
      <w:proofErr w:type="spellStart"/>
      <w:r w:rsidRPr="005F0AA8">
        <w:rPr>
          <w:rFonts w:cs="Times New Roman"/>
          <w:sz w:val="22"/>
          <w:szCs w:val="22"/>
        </w:rPr>
        <w:t>odwapniaczy</w:t>
      </w:r>
      <w:proofErr w:type="spellEnd"/>
      <w:r w:rsidRPr="005F0AA8">
        <w:rPr>
          <w:rFonts w:cs="Times New Roman"/>
          <w:sz w:val="22"/>
          <w:szCs w:val="22"/>
        </w:rPr>
        <w:t xml:space="preserve"> gotowych do zakończenia (pobrania do kasetki).</w:t>
      </w:r>
    </w:p>
    <w:p w14:paraId="50B3F9E4" w14:textId="7C146E54"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Znakowanie materiału jako pobranego w całości. Materiał pobrany w całości nie może być pobierany w ramach II rzutu ani nie podlega utylizacji.</w:t>
      </w:r>
    </w:p>
    <w:p w14:paraId="23867C37" w14:textId="4A39EA79"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Możliwość wyboru koszyka procesora tkankowego, do którego ma trafić dana kasetka.</w:t>
      </w:r>
    </w:p>
    <w:p w14:paraId="262D2313" w14:textId="3920C10B"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Możliwość określenia topografii lokalizacji anatomicznej, z której pobrano daną kasetkę.</w:t>
      </w:r>
    </w:p>
    <w:p w14:paraId="452C636B" w14:textId="52BEE5AF"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lastRenderedPageBreak/>
        <w:t>Możliwość określenia proponowanej osoby oceniającej na etapie rejestracji kasetek.</w:t>
      </w:r>
    </w:p>
    <w:p w14:paraId="52EEDAE8" w14:textId="7E3D9A4E"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Zabezpieczenie przed omyłkowym opuszczeniem przypadku, który nie ma zakończonego etapu technicznego.</w:t>
      </w:r>
    </w:p>
    <w:p w14:paraId="3050EAB9" w14:textId="1C74AD2D"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Możliwość automatycznego dodawania preparatów do badania według skonfigurowanego inicjalnego profilu.</w:t>
      </w:r>
    </w:p>
    <w:p w14:paraId="2B497906" w14:textId="3969A4E4"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Dedykowany ekran pokazujący listę materiałów do opracowania – materiałów, które zostały przyjęte do pracowni, ale z których nie powstały żadne badania.</w:t>
      </w:r>
    </w:p>
    <w:p w14:paraId="3CB4AF66" w14:textId="05E68E96"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Sortowanie listy roboczej wg trybu przyjęcia, projektu i daty otrzymania. Oznaczanie trybów przyjęcia i projektów konfigurowalnymi kolorami oraz przyznawanie trybom przyjęcia i projektom priorytetu sortowania.</w:t>
      </w:r>
    </w:p>
    <w:p w14:paraId="7CCB68FA" w14:textId="0C8BEC17" w:rsidR="00C66BD9" w:rsidRPr="005F0AA8" w:rsidRDefault="00C66BD9" w:rsidP="00D76B9C">
      <w:pPr>
        <w:pStyle w:val="Akapitzlist"/>
        <w:numPr>
          <w:ilvl w:val="2"/>
          <w:numId w:val="13"/>
        </w:numPr>
        <w:ind w:left="1134"/>
        <w:jc w:val="both"/>
        <w:rPr>
          <w:rFonts w:cs="Times New Roman"/>
          <w:sz w:val="22"/>
          <w:szCs w:val="22"/>
        </w:rPr>
      </w:pPr>
      <w:r w:rsidRPr="005F0AA8">
        <w:rPr>
          <w:rFonts w:cs="Times New Roman"/>
          <w:sz w:val="22"/>
          <w:szCs w:val="22"/>
        </w:rPr>
        <w:t>Możliwość eksportu aktualnej listy materiałów do opracowania w formie XML.</w:t>
      </w:r>
    </w:p>
    <w:p w14:paraId="7AB9BC2F" w14:textId="5B6E13B8"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Stanowisko zatapiania</w:t>
      </w:r>
    </w:p>
    <w:p w14:paraId="2AE42DA4" w14:textId="62E74B7E"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Generowanie listy kasetek pozostałych do zatopienia po przeprocesowaniu z wyszczególnieniem trybów pilności, projektów i ścieżek klinicznych.</w:t>
      </w:r>
    </w:p>
    <w:p w14:paraId="2CA7542A" w14:textId="5ACA7222"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Oznaczanie bloczków jako zatopionych poprzez zeskanowanie kodu z kasetki lub ręczne wprowadzenie numeru kasetki.</w:t>
      </w:r>
    </w:p>
    <w:p w14:paraId="2A5494F1" w14:textId="0A880F0A"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Automatyczne odświeżanie listy kasetek do zatopienia.</w:t>
      </w:r>
    </w:p>
    <w:p w14:paraId="09E2B88C" w14:textId="11EE48CD"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Rejestracja miejsca (stanowisko), czasu (data i godzina) i pracownika zatapiającego.</w:t>
      </w:r>
    </w:p>
    <w:p w14:paraId="6BAA1A8E" w14:textId="00A93E4F"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Możliwość wprowadzania uwag tekstowych (w tym możliwość korzystania z szablonów (np. informacja: materiał twardy, wykorzystaj szkiełko adhezyjne) istotnych dla osób zajmujących się materiałem na dalszych etapach procesu (krojenie i barwienie).</w:t>
      </w:r>
    </w:p>
    <w:p w14:paraId="77C99751" w14:textId="7219BCE8" w:rsidR="009E4757" w:rsidRPr="005F0AA8" w:rsidRDefault="009E4757" w:rsidP="00D76B9C">
      <w:pPr>
        <w:pStyle w:val="Akapitzlist"/>
        <w:numPr>
          <w:ilvl w:val="3"/>
          <w:numId w:val="13"/>
        </w:numPr>
        <w:ind w:left="1843"/>
        <w:jc w:val="both"/>
        <w:rPr>
          <w:rFonts w:cs="Times New Roman"/>
          <w:sz w:val="22"/>
          <w:szCs w:val="22"/>
        </w:rPr>
      </w:pPr>
      <w:r w:rsidRPr="005F0AA8">
        <w:rPr>
          <w:rFonts w:cs="Times New Roman"/>
          <w:sz w:val="22"/>
          <w:szCs w:val="22"/>
        </w:rPr>
        <w:t>Sygnalizacja dźwiękowa, jeżeli uwaga dot. zatapiania jest wpisana.</w:t>
      </w:r>
    </w:p>
    <w:p w14:paraId="0BBF079F" w14:textId="5374C478"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Sortowanie listy roboczej wg trybu przyjęcia, projektu, ścieżki klinicznej i daty utworzenia kasetki histopatologicznej. Oznaczanie trybów przyjęcia i projektów konfigurowalnymi kolorami oraz przyznawanie trybom przyjęcia, projektom i ścieżkom klinicznym priorytetu sortowania.</w:t>
      </w:r>
    </w:p>
    <w:p w14:paraId="60EAD908" w14:textId="297AC3AB" w:rsidR="009E4757" w:rsidRPr="005F0AA8" w:rsidRDefault="009E4757" w:rsidP="0006659A">
      <w:pPr>
        <w:pStyle w:val="Akapitzlist"/>
        <w:numPr>
          <w:ilvl w:val="1"/>
          <w:numId w:val="13"/>
        </w:numPr>
        <w:ind w:left="567"/>
        <w:jc w:val="both"/>
        <w:rPr>
          <w:rFonts w:cs="Times New Roman"/>
          <w:sz w:val="22"/>
          <w:szCs w:val="22"/>
        </w:rPr>
      </w:pPr>
      <w:r w:rsidRPr="005F0AA8">
        <w:rPr>
          <w:rFonts w:cs="Times New Roman"/>
          <w:sz w:val="22"/>
          <w:szCs w:val="22"/>
        </w:rPr>
        <w:t>Stanowisko krojenia (stanowisko mikrotomu) ze znakowaniem szkiełek mikroskopowych</w:t>
      </w:r>
    </w:p>
    <w:p w14:paraId="59CE81EA" w14:textId="50A3C8EA"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Generowanie listy bloczków pozostałych do skrojenia po zatopieniu. Lista powinna posiadać możliwość zawężenia do bloczków krojonych w ramach</w:t>
      </w:r>
      <w:r w:rsidR="002F78BB" w:rsidRPr="005F0AA8">
        <w:rPr>
          <w:rFonts w:cs="Times New Roman"/>
          <w:sz w:val="22"/>
          <w:szCs w:val="22"/>
        </w:rPr>
        <w:t xml:space="preserve"> profilu barwienia,</w:t>
      </w:r>
      <w:r w:rsidRPr="005F0AA8">
        <w:rPr>
          <w:rFonts w:cs="Times New Roman"/>
          <w:sz w:val="22"/>
          <w:szCs w:val="22"/>
        </w:rPr>
        <w:t xml:space="preserve"> zleceń </w:t>
      </w:r>
      <w:proofErr w:type="spellStart"/>
      <w:r w:rsidRPr="005F0AA8">
        <w:rPr>
          <w:rFonts w:cs="Times New Roman"/>
          <w:sz w:val="22"/>
          <w:szCs w:val="22"/>
        </w:rPr>
        <w:t>barwień</w:t>
      </w:r>
      <w:proofErr w:type="spellEnd"/>
      <w:r w:rsidRPr="005F0AA8">
        <w:rPr>
          <w:rFonts w:cs="Times New Roman"/>
          <w:sz w:val="22"/>
          <w:szCs w:val="22"/>
        </w:rPr>
        <w:t xml:space="preserve"> dodatkowych, zatopionych przez wybraną osobę lub pochodzących z danej jednostki org.</w:t>
      </w:r>
    </w:p>
    <w:p w14:paraId="2C94FEF8" w14:textId="0FEE2F3C"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Praca w kontekście bloczka poprzez zeskanowanie kodu z bloczka lub ręczne wprowadzenie numeru bloczka (wybór bloczka). W przypadku badań konsultacyjnych możliwe wejście w kontekst obcego bloczka poprzez wybór z listy lub skan kodu kreskowego ze skierowania.</w:t>
      </w:r>
    </w:p>
    <w:p w14:paraId="6B063B9F" w14:textId="383B66FF"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Wydruk szkiełek na preparaty, które mają powstać z bloczka, z uwzględnieniem zleceń stałych przypisanych do bloczka na etapie pobierania. Automatyczny dynamiczny wybór drukarki odpowiedniej dla danego typu preparatu.</w:t>
      </w:r>
    </w:p>
    <w:p w14:paraId="692A2032" w14:textId="3FFA0A17"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 xml:space="preserve">Rejestracja miejsca (stanowisko), czasu (data i godzina) i pracownika opracowującego preparat na stanowisku </w:t>
      </w:r>
      <w:proofErr w:type="spellStart"/>
      <w:r w:rsidRPr="005F0AA8">
        <w:rPr>
          <w:rFonts w:cs="Times New Roman"/>
          <w:sz w:val="22"/>
          <w:szCs w:val="22"/>
        </w:rPr>
        <w:t>mikrotomowym</w:t>
      </w:r>
      <w:proofErr w:type="spellEnd"/>
      <w:r w:rsidRPr="005F0AA8">
        <w:rPr>
          <w:rFonts w:cs="Times New Roman"/>
          <w:sz w:val="22"/>
          <w:szCs w:val="22"/>
        </w:rPr>
        <w:t>.</w:t>
      </w:r>
    </w:p>
    <w:p w14:paraId="10220B7D" w14:textId="0EEDCB49"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Możliwość wprowadzania uwag tekstowych, w tym możliwość korzystania z szablonów (np. informacja: materiał twardy, jakość preparatu może być obniżona) istotnych dla osób zajmujących się materiałem na dalszych etapach procesu (barwienie i kompletacja z oceną jakości).</w:t>
      </w:r>
    </w:p>
    <w:p w14:paraId="051F6E6A" w14:textId="205DD24A" w:rsidR="009E4757" w:rsidRPr="005F0AA8" w:rsidRDefault="009E4757" w:rsidP="00D76B9C">
      <w:pPr>
        <w:pStyle w:val="Akapitzlist"/>
        <w:numPr>
          <w:ilvl w:val="3"/>
          <w:numId w:val="13"/>
        </w:numPr>
        <w:ind w:left="1843"/>
        <w:jc w:val="both"/>
        <w:rPr>
          <w:rFonts w:cs="Times New Roman"/>
          <w:sz w:val="22"/>
          <w:szCs w:val="22"/>
        </w:rPr>
      </w:pPr>
      <w:r w:rsidRPr="005F0AA8">
        <w:rPr>
          <w:rFonts w:cs="Times New Roman"/>
          <w:sz w:val="22"/>
          <w:szCs w:val="22"/>
        </w:rPr>
        <w:t>Sygnalizacja dźwiękowa, jeżeli uwaga dot. krojenia jest wpisana.</w:t>
      </w:r>
    </w:p>
    <w:p w14:paraId="21DB8E3C" w14:textId="3D7758EF"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Sortowanie listy roboczej wg trybu przyjęcia i projektu. Oznaczanie trybów przyjęcia i projektów konfigurowalnymi kolorami oraz przyznawanie trybom przyjęcia i projektom priorytetu sortowania.</w:t>
      </w:r>
    </w:p>
    <w:p w14:paraId="7EEC5056" w14:textId="077DDA5B"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lastRenderedPageBreak/>
        <w:t>Możliwość automatycznej archiwizacji bloczków po skrojeniu poprzez skan kodu zasobnika archiwum przed rozpoczęciem krojenia.</w:t>
      </w:r>
    </w:p>
    <w:p w14:paraId="4AD2EA74" w14:textId="215FFD5E" w:rsidR="009E4757" w:rsidRPr="005F0AA8" w:rsidRDefault="009E4757" w:rsidP="00D76B9C">
      <w:pPr>
        <w:pStyle w:val="Akapitzlist"/>
        <w:numPr>
          <w:ilvl w:val="2"/>
          <w:numId w:val="13"/>
        </w:numPr>
        <w:ind w:left="1134"/>
        <w:jc w:val="both"/>
        <w:rPr>
          <w:rFonts w:cs="Times New Roman"/>
          <w:sz w:val="22"/>
          <w:szCs w:val="22"/>
        </w:rPr>
      </w:pPr>
      <w:r w:rsidRPr="005F0AA8">
        <w:rPr>
          <w:rFonts w:cs="Times New Roman"/>
          <w:sz w:val="22"/>
          <w:szCs w:val="22"/>
        </w:rPr>
        <w:t>Możliwość ponownego wydruku preparatu (w przypadku nieudanego wydruku lub uszkodzenia szkiełka) z odnotowaniem liczby wydruków. Możliwość szybkiego dodania kolejnego preparatu wskazanego typu do bloczka, w którego kontekście znajduje się użytkownik.</w:t>
      </w:r>
    </w:p>
    <w:p w14:paraId="18793DAF" w14:textId="2F937603" w:rsidR="009E4757" w:rsidRPr="005F0AA8" w:rsidRDefault="009E4757" w:rsidP="00D76B9C">
      <w:pPr>
        <w:pStyle w:val="Akapitzlist"/>
        <w:numPr>
          <w:ilvl w:val="1"/>
          <w:numId w:val="13"/>
        </w:numPr>
        <w:ind w:left="567"/>
        <w:jc w:val="both"/>
        <w:rPr>
          <w:rFonts w:cs="Times New Roman"/>
          <w:sz w:val="22"/>
          <w:szCs w:val="22"/>
        </w:rPr>
      </w:pPr>
      <w:r w:rsidRPr="005F0AA8">
        <w:rPr>
          <w:rFonts w:cs="Times New Roman"/>
          <w:sz w:val="22"/>
          <w:szCs w:val="22"/>
        </w:rPr>
        <w:t>Stanowisko kompletacji preparatów po barwieniu</w:t>
      </w:r>
    </w:p>
    <w:p w14:paraId="2129A50B" w14:textId="55AD49DF" w:rsidR="00805DEB"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Możliwość hurtowego przekazywania przypadków diagnozującemu.</w:t>
      </w:r>
    </w:p>
    <w:p w14:paraId="7BF3DE62" w14:textId="35588D18"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Dwa warianty pracy:</w:t>
      </w:r>
    </w:p>
    <w:p w14:paraId="55A748C4" w14:textId="2F01434C" w:rsidR="009E4757" w:rsidRPr="005F0AA8" w:rsidRDefault="009E4757" w:rsidP="00A748E6">
      <w:pPr>
        <w:pStyle w:val="Akapitzlist"/>
        <w:numPr>
          <w:ilvl w:val="3"/>
          <w:numId w:val="13"/>
        </w:numPr>
        <w:ind w:left="1843"/>
        <w:jc w:val="both"/>
        <w:rPr>
          <w:rFonts w:cs="Times New Roman"/>
          <w:sz w:val="22"/>
          <w:szCs w:val="22"/>
        </w:rPr>
      </w:pPr>
      <w:r w:rsidRPr="005F0AA8">
        <w:rPr>
          <w:rFonts w:cs="Times New Roman"/>
          <w:sz w:val="22"/>
          <w:szCs w:val="22"/>
        </w:rPr>
        <w:t>Kompletacja pokazująca na ekranie po odczytaniu pierwszego szkiełka wszystkie szkiełka z przypadku (listę) i „odznaczająca” kolejno odczytywane szkiełka do przekazania oceniającemu.</w:t>
      </w:r>
    </w:p>
    <w:p w14:paraId="0D9F6817" w14:textId="3CB04E78" w:rsidR="009E4757" w:rsidRPr="005F0AA8" w:rsidRDefault="009E4757" w:rsidP="00A748E6">
      <w:pPr>
        <w:pStyle w:val="Akapitzlist"/>
        <w:numPr>
          <w:ilvl w:val="3"/>
          <w:numId w:val="13"/>
        </w:numPr>
        <w:ind w:left="1843"/>
        <w:jc w:val="both"/>
        <w:rPr>
          <w:rFonts w:cs="Times New Roman"/>
          <w:sz w:val="22"/>
          <w:szCs w:val="22"/>
        </w:rPr>
      </w:pPr>
      <w:r w:rsidRPr="005F0AA8">
        <w:rPr>
          <w:rFonts w:cs="Times New Roman"/>
          <w:sz w:val="22"/>
          <w:szCs w:val="22"/>
        </w:rPr>
        <w:t>Kompletacja sortująca odczytywane preparaty na „zasobniki”/„teczki”. Sygnalizacja kompletności przypadków po umieszczeniu ostatniego brakującego preparatu w „zasobniku”.</w:t>
      </w:r>
    </w:p>
    <w:p w14:paraId="3768E883" w14:textId="1D9E7CAA"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Komunikaty głosowe informujące użytkownika, na które pole powinien odłożyć kompletowany preparat podczas kompletacji na „zasobniki”.</w:t>
      </w:r>
    </w:p>
    <w:p w14:paraId="4EACBF3B" w14:textId="479728E6"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Możliwość kompletacji na tzw. „stertę” – tymczasowe oznaczenie przypadków jako skompletowanych bez wskazywania osoby odpowiedzialnej, do późniejszego rozdziału na osoby oceniające za pomocą cesji przypadku.</w:t>
      </w:r>
    </w:p>
    <w:p w14:paraId="625ACA8B" w14:textId="6E2DEC8D"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Podpowiedź lekarza diagnozującego, na podstawie informacji o lekarzu przypisanym do materiału na etapie pobierania wycinków, z zachowaniem możliwości korekty, poprzez ręczny wybór lekarza diagnozującego - lista/kafelek.</w:t>
      </w:r>
    </w:p>
    <w:p w14:paraId="7D6D0A5C" w14:textId="0C890120"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Możliwość szybkiego potwierdzenia kompletacji poprzez zeskanowanie skierowania z weryfikacją posiadania preparatów i skierowania z jednego przypadku.</w:t>
      </w:r>
    </w:p>
    <w:p w14:paraId="5B337164" w14:textId="0FCDE6C7"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Dedykowany ekran hurtowej cesji przypadków pozwalający na hurtowe przekazanie przypadków ze „sterty” wybranemu diagnozującemu poprzez zeskanowanie skierowania. Możliwość hurtowego przekazania przypadków między diagnozującymi.</w:t>
      </w:r>
    </w:p>
    <w:p w14:paraId="5F9200D6" w14:textId="2D3FF6D5"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Dedykowany ekran hurtowej cesji przypadków w pełni cyfrowych – bez papierowego skierowania i z preparatami w formie skanów.</w:t>
      </w:r>
    </w:p>
    <w:p w14:paraId="7F370714" w14:textId="7A020D2A"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Możliwość zdefiniowania w systemie oddzielnych stanowisk kompletowania, dla osobnych pracowni.</w:t>
      </w:r>
    </w:p>
    <w:p w14:paraId="7D177556" w14:textId="3B82538B" w:rsidR="009E4757" w:rsidRPr="005F0AA8" w:rsidRDefault="009E4757" w:rsidP="00D76B9C">
      <w:pPr>
        <w:pStyle w:val="Akapitzlist"/>
        <w:numPr>
          <w:ilvl w:val="1"/>
          <w:numId w:val="13"/>
        </w:numPr>
        <w:ind w:left="567"/>
        <w:jc w:val="both"/>
        <w:rPr>
          <w:rFonts w:cs="Times New Roman"/>
          <w:sz w:val="22"/>
          <w:szCs w:val="22"/>
        </w:rPr>
      </w:pPr>
      <w:r w:rsidRPr="005F0AA8">
        <w:rPr>
          <w:rFonts w:cs="Times New Roman"/>
          <w:sz w:val="22"/>
          <w:szCs w:val="22"/>
        </w:rPr>
        <w:t xml:space="preserve">Stanowisko diagnozy (wpisywania </w:t>
      </w:r>
      <w:proofErr w:type="spellStart"/>
      <w:r w:rsidRPr="005F0AA8">
        <w:rPr>
          <w:rFonts w:cs="Times New Roman"/>
          <w:sz w:val="22"/>
          <w:szCs w:val="22"/>
        </w:rPr>
        <w:t>rozpoznań</w:t>
      </w:r>
      <w:proofErr w:type="spellEnd"/>
      <w:r w:rsidRPr="005F0AA8">
        <w:rPr>
          <w:rFonts w:cs="Times New Roman"/>
          <w:sz w:val="22"/>
          <w:szCs w:val="22"/>
        </w:rPr>
        <w:t>)</w:t>
      </w:r>
    </w:p>
    <w:p w14:paraId="07FD53D0" w14:textId="0C024582"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Lista robocza z informacją o gotowych przypadkach w następujących statusach: </w:t>
      </w:r>
    </w:p>
    <w:p w14:paraId="1C8517E0" w14:textId="19845D3E" w:rsidR="009E4757" w:rsidRPr="005F0AA8" w:rsidRDefault="009E4757" w:rsidP="00D76B9C">
      <w:pPr>
        <w:pStyle w:val="Akapitzlist"/>
        <w:numPr>
          <w:ilvl w:val="3"/>
          <w:numId w:val="13"/>
        </w:numPr>
        <w:jc w:val="both"/>
        <w:rPr>
          <w:rFonts w:cs="Times New Roman"/>
          <w:sz w:val="22"/>
          <w:szCs w:val="22"/>
        </w:rPr>
      </w:pPr>
      <w:bookmarkStart w:id="10" w:name="_Ref171595456"/>
      <w:r w:rsidRPr="005F0AA8">
        <w:rPr>
          <w:rFonts w:cs="Times New Roman"/>
          <w:sz w:val="22"/>
          <w:szCs w:val="22"/>
        </w:rPr>
        <w:t>przypadki „nowe” do diagnozowania,</w:t>
      </w:r>
      <w:bookmarkEnd w:id="10"/>
    </w:p>
    <w:p w14:paraId="38F1A087" w14:textId="7F9A8D62" w:rsidR="009E4757" w:rsidRPr="005F0AA8" w:rsidRDefault="009E4757" w:rsidP="00D76B9C">
      <w:pPr>
        <w:pStyle w:val="Akapitzlist"/>
        <w:numPr>
          <w:ilvl w:val="3"/>
          <w:numId w:val="13"/>
        </w:numPr>
        <w:jc w:val="both"/>
        <w:rPr>
          <w:rFonts w:cs="Times New Roman"/>
          <w:sz w:val="22"/>
          <w:szCs w:val="22"/>
        </w:rPr>
      </w:pPr>
      <w:r w:rsidRPr="005F0AA8">
        <w:rPr>
          <w:rFonts w:cs="Times New Roman"/>
          <w:sz w:val="22"/>
          <w:szCs w:val="22"/>
        </w:rPr>
        <w:t>przypadki w statusie do weryfikacji,</w:t>
      </w:r>
    </w:p>
    <w:p w14:paraId="28A81EB4" w14:textId="47AED012" w:rsidR="009E4757" w:rsidRPr="005F0AA8" w:rsidRDefault="009E4757" w:rsidP="00D76B9C">
      <w:pPr>
        <w:pStyle w:val="Akapitzlist"/>
        <w:numPr>
          <w:ilvl w:val="3"/>
          <w:numId w:val="13"/>
        </w:numPr>
        <w:jc w:val="both"/>
        <w:rPr>
          <w:rFonts w:cs="Times New Roman"/>
          <w:sz w:val="22"/>
          <w:szCs w:val="22"/>
        </w:rPr>
      </w:pPr>
      <w:r w:rsidRPr="005F0AA8">
        <w:rPr>
          <w:rFonts w:cs="Times New Roman"/>
          <w:sz w:val="22"/>
          <w:szCs w:val="22"/>
        </w:rPr>
        <w:t>przypadki w statusie wyniku wstępnego,</w:t>
      </w:r>
    </w:p>
    <w:p w14:paraId="54AEBA0E" w14:textId="5035476C" w:rsidR="009E4757" w:rsidRPr="005F0AA8" w:rsidRDefault="009E4757" w:rsidP="00D76B9C">
      <w:pPr>
        <w:pStyle w:val="Akapitzlist"/>
        <w:numPr>
          <w:ilvl w:val="3"/>
          <w:numId w:val="13"/>
        </w:numPr>
        <w:jc w:val="both"/>
        <w:rPr>
          <w:rFonts w:cs="Times New Roman"/>
          <w:sz w:val="22"/>
          <w:szCs w:val="22"/>
        </w:rPr>
      </w:pPr>
      <w:r w:rsidRPr="005F0AA8">
        <w:rPr>
          <w:rFonts w:cs="Times New Roman"/>
          <w:sz w:val="22"/>
          <w:szCs w:val="22"/>
        </w:rPr>
        <w:t xml:space="preserve">przypadki z oczekującymi zleceniami </w:t>
      </w:r>
      <w:proofErr w:type="spellStart"/>
      <w:r w:rsidRPr="005F0AA8">
        <w:rPr>
          <w:rFonts w:cs="Times New Roman"/>
          <w:sz w:val="22"/>
          <w:szCs w:val="22"/>
        </w:rPr>
        <w:t>barwień</w:t>
      </w:r>
      <w:proofErr w:type="spellEnd"/>
      <w:r w:rsidRPr="005F0AA8">
        <w:rPr>
          <w:rFonts w:cs="Times New Roman"/>
          <w:sz w:val="22"/>
          <w:szCs w:val="22"/>
        </w:rPr>
        <w:t xml:space="preserve"> dodatkowych i II rzutu (dobieranych z naczynia z materiałem),</w:t>
      </w:r>
    </w:p>
    <w:p w14:paraId="4E247CAF" w14:textId="6B826900" w:rsidR="009E4757" w:rsidRPr="005F0AA8" w:rsidRDefault="009E4757" w:rsidP="00D76B9C">
      <w:pPr>
        <w:pStyle w:val="Akapitzlist"/>
        <w:numPr>
          <w:ilvl w:val="3"/>
          <w:numId w:val="13"/>
        </w:numPr>
        <w:jc w:val="both"/>
        <w:rPr>
          <w:rFonts w:cs="Times New Roman"/>
          <w:sz w:val="22"/>
          <w:szCs w:val="22"/>
        </w:rPr>
      </w:pPr>
      <w:r w:rsidRPr="005F0AA8">
        <w:rPr>
          <w:rFonts w:cs="Times New Roman"/>
          <w:sz w:val="22"/>
          <w:szCs w:val="22"/>
        </w:rPr>
        <w:t xml:space="preserve">przypadki z wykonanymi zleceniami </w:t>
      </w:r>
      <w:proofErr w:type="spellStart"/>
      <w:r w:rsidRPr="005F0AA8">
        <w:rPr>
          <w:rFonts w:cs="Times New Roman"/>
          <w:sz w:val="22"/>
          <w:szCs w:val="22"/>
        </w:rPr>
        <w:t>barwień</w:t>
      </w:r>
      <w:proofErr w:type="spellEnd"/>
      <w:r w:rsidRPr="005F0AA8">
        <w:rPr>
          <w:rFonts w:cs="Times New Roman"/>
          <w:sz w:val="22"/>
          <w:szCs w:val="22"/>
        </w:rPr>
        <w:t xml:space="preserve"> dodatkowych i II rzutu, </w:t>
      </w:r>
    </w:p>
    <w:p w14:paraId="68D017FE" w14:textId="30192DD9" w:rsidR="009E4757" w:rsidRPr="005F0AA8" w:rsidRDefault="009E4757" w:rsidP="00D76B9C">
      <w:pPr>
        <w:pStyle w:val="Akapitzlist"/>
        <w:numPr>
          <w:ilvl w:val="3"/>
          <w:numId w:val="13"/>
        </w:numPr>
        <w:jc w:val="both"/>
        <w:rPr>
          <w:rFonts w:cs="Times New Roman"/>
          <w:sz w:val="22"/>
          <w:szCs w:val="22"/>
        </w:rPr>
      </w:pPr>
      <w:r w:rsidRPr="005F0AA8">
        <w:rPr>
          <w:rFonts w:cs="Times New Roman"/>
          <w:sz w:val="22"/>
          <w:szCs w:val="22"/>
        </w:rPr>
        <w:t>przypadki przekazane do konsultacji przez innego diagnozującego,</w:t>
      </w:r>
    </w:p>
    <w:p w14:paraId="123563FC" w14:textId="61BD9E17" w:rsidR="009E4757" w:rsidRPr="005F0AA8" w:rsidRDefault="009E4757" w:rsidP="00D76B9C">
      <w:pPr>
        <w:pStyle w:val="Akapitzlist"/>
        <w:numPr>
          <w:ilvl w:val="3"/>
          <w:numId w:val="13"/>
        </w:numPr>
        <w:jc w:val="both"/>
        <w:rPr>
          <w:rFonts w:cs="Times New Roman"/>
          <w:sz w:val="22"/>
          <w:szCs w:val="22"/>
        </w:rPr>
      </w:pPr>
      <w:r w:rsidRPr="005F0AA8">
        <w:rPr>
          <w:rFonts w:cs="Times New Roman"/>
          <w:sz w:val="22"/>
          <w:szCs w:val="22"/>
        </w:rPr>
        <w:t>przypadki do skonsultowania od innych diagnozujących,</w:t>
      </w:r>
    </w:p>
    <w:p w14:paraId="254985ED" w14:textId="176D57B2" w:rsidR="009E4757" w:rsidRPr="005F0AA8" w:rsidRDefault="009E4757" w:rsidP="00D76B9C">
      <w:pPr>
        <w:pStyle w:val="Akapitzlist"/>
        <w:numPr>
          <w:ilvl w:val="3"/>
          <w:numId w:val="13"/>
        </w:numPr>
        <w:jc w:val="both"/>
        <w:rPr>
          <w:rFonts w:cs="Times New Roman"/>
          <w:sz w:val="22"/>
          <w:szCs w:val="22"/>
        </w:rPr>
      </w:pPr>
      <w:r w:rsidRPr="005F0AA8">
        <w:rPr>
          <w:rFonts w:cs="Times New Roman"/>
          <w:sz w:val="22"/>
          <w:szCs w:val="22"/>
        </w:rPr>
        <w:t>przypadki przekazane do kontrasygnaty nowotworu złośliwego,</w:t>
      </w:r>
    </w:p>
    <w:p w14:paraId="10A3A49A" w14:textId="773E0030" w:rsidR="009E4757" w:rsidRPr="005F0AA8" w:rsidRDefault="009E4757" w:rsidP="00D76B9C">
      <w:pPr>
        <w:pStyle w:val="Akapitzlist"/>
        <w:numPr>
          <w:ilvl w:val="3"/>
          <w:numId w:val="13"/>
        </w:numPr>
        <w:jc w:val="both"/>
        <w:rPr>
          <w:rFonts w:cs="Times New Roman"/>
          <w:sz w:val="22"/>
          <w:szCs w:val="22"/>
        </w:rPr>
      </w:pPr>
      <w:r w:rsidRPr="005F0AA8">
        <w:rPr>
          <w:rFonts w:cs="Times New Roman"/>
          <w:sz w:val="22"/>
          <w:szCs w:val="22"/>
        </w:rPr>
        <w:t>przypadki do kontrasygnowania nowotworu złośliwego,</w:t>
      </w:r>
    </w:p>
    <w:p w14:paraId="70EE50B4" w14:textId="6E26ABA2" w:rsidR="009E4757" w:rsidRPr="005F0AA8" w:rsidRDefault="009E4757" w:rsidP="00D76B9C">
      <w:pPr>
        <w:pStyle w:val="Akapitzlist"/>
        <w:numPr>
          <w:ilvl w:val="3"/>
          <w:numId w:val="13"/>
        </w:numPr>
        <w:jc w:val="both"/>
        <w:rPr>
          <w:rFonts w:cs="Times New Roman"/>
          <w:sz w:val="22"/>
          <w:szCs w:val="22"/>
        </w:rPr>
      </w:pPr>
      <w:r w:rsidRPr="005F0AA8">
        <w:rPr>
          <w:rFonts w:cs="Times New Roman"/>
          <w:sz w:val="22"/>
          <w:szCs w:val="22"/>
        </w:rPr>
        <w:t>przypadki z oczekującymi zleceniami badań do innej jednostki organizacyjnej,</w:t>
      </w:r>
    </w:p>
    <w:p w14:paraId="019B0267" w14:textId="6E989A7C" w:rsidR="009E4757" w:rsidRPr="005F0AA8" w:rsidRDefault="009E4757" w:rsidP="00D76B9C">
      <w:pPr>
        <w:pStyle w:val="Akapitzlist"/>
        <w:numPr>
          <w:ilvl w:val="3"/>
          <w:numId w:val="13"/>
        </w:numPr>
        <w:jc w:val="both"/>
        <w:rPr>
          <w:rFonts w:cs="Times New Roman"/>
          <w:sz w:val="22"/>
          <w:szCs w:val="22"/>
        </w:rPr>
      </w:pPr>
      <w:r w:rsidRPr="005F0AA8">
        <w:rPr>
          <w:rFonts w:cs="Times New Roman"/>
          <w:sz w:val="22"/>
          <w:szCs w:val="22"/>
        </w:rPr>
        <w:t xml:space="preserve">przypadki z wykonanymi badaniami w innej jednostce organizacyjnej, </w:t>
      </w:r>
    </w:p>
    <w:p w14:paraId="32B7EA62" w14:textId="4E2EEE53" w:rsidR="009E4757" w:rsidRPr="005F0AA8" w:rsidRDefault="009E4757" w:rsidP="00D76B9C">
      <w:pPr>
        <w:pStyle w:val="Akapitzlist"/>
        <w:numPr>
          <w:ilvl w:val="3"/>
          <w:numId w:val="13"/>
        </w:numPr>
        <w:jc w:val="both"/>
        <w:rPr>
          <w:rFonts w:cs="Times New Roman"/>
          <w:sz w:val="22"/>
          <w:szCs w:val="22"/>
        </w:rPr>
      </w:pPr>
      <w:r w:rsidRPr="005F0AA8">
        <w:rPr>
          <w:rFonts w:cs="Times New Roman"/>
          <w:sz w:val="22"/>
          <w:szCs w:val="22"/>
        </w:rPr>
        <w:t>przypadki w statusie wyniku ostatecznego do podpisu elektronicznego.</w:t>
      </w:r>
      <w:r w:rsidR="00946B5F" w:rsidRPr="005F0AA8">
        <w:rPr>
          <w:rFonts w:cs="Times New Roman"/>
          <w:sz w:val="22"/>
          <w:szCs w:val="22"/>
        </w:rPr>
        <w:br/>
        <w:t xml:space="preserve">Na liście roboczej powinny być widoczne graficzne oznaczenia otwartych i </w:t>
      </w:r>
      <w:r w:rsidR="00946B5F" w:rsidRPr="005F0AA8">
        <w:rPr>
          <w:rFonts w:cs="Times New Roman"/>
          <w:sz w:val="22"/>
          <w:szCs w:val="22"/>
        </w:rPr>
        <w:lastRenderedPageBreak/>
        <w:t xml:space="preserve">zakończonych zleceń w danym przypadku. Powinna być zapewniona możliwość szybkiego podejrzenia wpisanych </w:t>
      </w:r>
      <w:proofErr w:type="spellStart"/>
      <w:r w:rsidR="00946B5F" w:rsidRPr="005F0AA8">
        <w:rPr>
          <w:rFonts w:cs="Times New Roman"/>
          <w:sz w:val="22"/>
          <w:szCs w:val="22"/>
        </w:rPr>
        <w:t>rozpoznań</w:t>
      </w:r>
      <w:proofErr w:type="spellEnd"/>
      <w:r w:rsidR="00946B5F" w:rsidRPr="005F0AA8">
        <w:rPr>
          <w:rFonts w:cs="Times New Roman"/>
          <w:sz w:val="22"/>
          <w:szCs w:val="22"/>
        </w:rPr>
        <w:t xml:space="preserve"> (w tym </w:t>
      </w:r>
      <w:proofErr w:type="spellStart"/>
      <w:r w:rsidR="00946B5F" w:rsidRPr="005F0AA8">
        <w:rPr>
          <w:rFonts w:cs="Times New Roman"/>
          <w:sz w:val="22"/>
          <w:szCs w:val="22"/>
        </w:rPr>
        <w:t>rozpoznań</w:t>
      </w:r>
      <w:proofErr w:type="spellEnd"/>
      <w:r w:rsidR="00946B5F" w:rsidRPr="005F0AA8">
        <w:rPr>
          <w:rFonts w:cs="Times New Roman"/>
          <w:sz w:val="22"/>
          <w:szCs w:val="22"/>
        </w:rPr>
        <w:t xml:space="preserve"> klinicznych) z danych przypadków (np. w „dymku”) bez opuszczania listy roboczej.</w:t>
      </w:r>
    </w:p>
    <w:p w14:paraId="37A38D7F" w14:textId="602ED00F"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Sortowanie listy roboczej wg trybu przyjęcia, projektu i oczekiwanej daty wyniku obliczanej w systemie na podstawie rozbudowanych reguł terminowości. </w:t>
      </w:r>
    </w:p>
    <w:p w14:paraId="187814C2" w14:textId="717EF1E4"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Filtrowanie listy roboczej względem jednostki organizacyjnej, czy przypadek posiada skany preparatów lub jest w pełni cyfrowy (Digital </w:t>
      </w:r>
      <w:proofErr w:type="spellStart"/>
      <w:r w:rsidRPr="005F0AA8">
        <w:rPr>
          <w:rFonts w:cs="Times New Roman"/>
          <w:sz w:val="22"/>
          <w:szCs w:val="22"/>
        </w:rPr>
        <w:t>Pathology</w:t>
      </w:r>
      <w:proofErr w:type="spellEnd"/>
      <w:r w:rsidRPr="005F0AA8">
        <w:rPr>
          <w:rFonts w:cs="Times New Roman"/>
          <w:sz w:val="22"/>
          <w:szCs w:val="22"/>
        </w:rPr>
        <w:t>).</w:t>
      </w:r>
    </w:p>
    <w:p w14:paraId="51C1253A" w14:textId="516A23BA"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Możliwość przekierowania przypadku wraz z preparatami do innego lekarza opisującego (cesja przypadku).</w:t>
      </w:r>
    </w:p>
    <w:p w14:paraId="79BDF83C" w14:textId="2DF7502F"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Wybór przypadku przez odczytanie kodu kreskowego lub wpisanie numeru z dowolnego obiektu należącego do przypadku (m.in. skierowanie, preparat, bloczek) powodujące automatyczne przeniesienie kontekstu interfejsu użytkownika do: tego obiektu lub danych przypadku, lub treści rozpoznania (zależnie od preferencji użytkownika).</w:t>
      </w:r>
    </w:p>
    <w:p w14:paraId="07E911A8" w14:textId="6F3DDF3A"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Dodawanie, edycja, usuwanie </w:t>
      </w:r>
      <w:proofErr w:type="spellStart"/>
      <w:r w:rsidRPr="005F0AA8">
        <w:rPr>
          <w:rFonts w:cs="Times New Roman"/>
          <w:sz w:val="22"/>
          <w:szCs w:val="22"/>
        </w:rPr>
        <w:t>rozpoznań</w:t>
      </w:r>
      <w:proofErr w:type="spellEnd"/>
      <w:r w:rsidRPr="005F0AA8">
        <w:rPr>
          <w:rFonts w:cs="Times New Roman"/>
          <w:sz w:val="22"/>
          <w:szCs w:val="22"/>
        </w:rPr>
        <w:t xml:space="preserve"> do badań w przypadku.</w:t>
      </w:r>
    </w:p>
    <w:p w14:paraId="13571740" w14:textId="691A12F1"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Możliwość </w:t>
      </w:r>
      <w:r w:rsidR="004B45DF" w:rsidRPr="005F0AA8">
        <w:rPr>
          <w:rFonts w:cs="Times New Roman"/>
          <w:sz w:val="22"/>
          <w:szCs w:val="22"/>
        </w:rPr>
        <w:t>trzy</w:t>
      </w:r>
      <w:r w:rsidRPr="005F0AA8">
        <w:rPr>
          <w:rFonts w:cs="Times New Roman"/>
          <w:sz w:val="22"/>
          <w:szCs w:val="22"/>
        </w:rPr>
        <w:t>etapowego zatwierdzania wyniku np.: „do weryfikacji”, „wynik wstępny”, „wynik ostateczny”.</w:t>
      </w:r>
    </w:p>
    <w:p w14:paraId="50191CD9" w14:textId="1F707593"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Szablony </w:t>
      </w:r>
      <w:proofErr w:type="spellStart"/>
      <w:r w:rsidRPr="005F0AA8">
        <w:rPr>
          <w:rFonts w:cs="Times New Roman"/>
          <w:sz w:val="22"/>
          <w:szCs w:val="22"/>
        </w:rPr>
        <w:t>rozpoznań</w:t>
      </w:r>
      <w:proofErr w:type="spellEnd"/>
      <w:r w:rsidRPr="005F0AA8">
        <w:rPr>
          <w:rFonts w:cs="Times New Roman"/>
          <w:sz w:val="22"/>
          <w:szCs w:val="22"/>
        </w:rPr>
        <w:t xml:space="preserve"> wg określonych protokołów pozwalające m.in. na tworzenie raportów synoptycznych. Możliwość tworzenia dodatkowych pól raportu, które następnie przekładają się na zdefiniowane teksty na wydruku rozpoznania. Raporty powinny móc zawierać typy pól: wyboru (</w:t>
      </w:r>
      <w:proofErr w:type="spellStart"/>
      <w:r w:rsidRPr="005F0AA8">
        <w:rPr>
          <w:rFonts w:cs="Times New Roman"/>
          <w:sz w:val="22"/>
          <w:szCs w:val="22"/>
        </w:rPr>
        <w:t>checkbox</w:t>
      </w:r>
      <w:proofErr w:type="spellEnd"/>
      <w:r w:rsidRPr="005F0AA8">
        <w:rPr>
          <w:rFonts w:cs="Times New Roman"/>
          <w:sz w:val="22"/>
          <w:szCs w:val="22"/>
        </w:rPr>
        <w:t>), słownikowe, numeryczne (z określoną precyzją po przecinku), tekstowe, daty/czasu, ukrywane/pokazywane w zależności od pozostałych pól i ich kombinacji, obliczane automatycznie na podstawie innych pól i ich kombinacji. Funkcjonalność raportów synoptycznych wbudowana w oferowane rozwiązanie, bez konieczności</w:t>
      </w:r>
      <w:r w:rsidR="00223572" w:rsidRPr="005F0AA8">
        <w:rPr>
          <w:rFonts w:cs="Times New Roman"/>
          <w:sz w:val="22"/>
          <w:szCs w:val="22"/>
        </w:rPr>
        <w:t xml:space="preserve"> </w:t>
      </w:r>
      <w:r w:rsidRPr="005F0AA8">
        <w:rPr>
          <w:rFonts w:cs="Times New Roman"/>
          <w:sz w:val="22"/>
          <w:szCs w:val="22"/>
        </w:rPr>
        <w:t>dokupowania/wykorzystania dodatkowych modułów lub aplikacji (w tym zintegrowanych).</w:t>
      </w:r>
    </w:p>
    <w:p w14:paraId="67E6E7BA" w14:textId="1D784691"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Możliwość klasyfikacji </w:t>
      </w:r>
      <w:proofErr w:type="spellStart"/>
      <w:r w:rsidRPr="005F0AA8">
        <w:rPr>
          <w:rFonts w:cs="Times New Roman"/>
          <w:sz w:val="22"/>
          <w:szCs w:val="22"/>
        </w:rPr>
        <w:t>rozpoznań</w:t>
      </w:r>
      <w:proofErr w:type="spellEnd"/>
      <w:r w:rsidRPr="005F0AA8">
        <w:rPr>
          <w:rFonts w:cs="Times New Roman"/>
          <w:sz w:val="22"/>
          <w:szCs w:val="22"/>
        </w:rPr>
        <w:t xml:space="preserve"> według kodów ICD-10,</w:t>
      </w:r>
      <w:r w:rsidR="00F91A16" w:rsidRPr="005F0AA8">
        <w:rPr>
          <w:rFonts w:cs="Times New Roman"/>
          <w:sz w:val="22"/>
          <w:szCs w:val="22"/>
        </w:rPr>
        <w:t xml:space="preserve"> </w:t>
      </w:r>
      <w:r w:rsidRPr="005F0AA8">
        <w:rPr>
          <w:rFonts w:cs="Times New Roman"/>
          <w:sz w:val="22"/>
          <w:szCs w:val="22"/>
        </w:rPr>
        <w:t xml:space="preserve">ICD-O3, ORPHA itp. Wymagana implementacja w systemie słowników ICD-10 i ICD-O3 w polskiej wersji językowej. Możliwość dodawania wielu </w:t>
      </w:r>
      <w:proofErr w:type="spellStart"/>
      <w:r w:rsidRPr="005F0AA8">
        <w:rPr>
          <w:rFonts w:cs="Times New Roman"/>
          <w:sz w:val="22"/>
          <w:szCs w:val="22"/>
        </w:rPr>
        <w:t>rozpoznań</w:t>
      </w:r>
      <w:proofErr w:type="spellEnd"/>
      <w:r w:rsidRPr="005F0AA8">
        <w:rPr>
          <w:rFonts w:cs="Times New Roman"/>
          <w:sz w:val="22"/>
          <w:szCs w:val="22"/>
        </w:rPr>
        <w:t xml:space="preserve"> z tej samej klasyfikacji do jednego rozpoznania.</w:t>
      </w:r>
    </w:p>
    <w:p w14:paraId="2054C980" w14:textId="20C8307D"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Możliwość podania wartości </w:t>
      </w:r>
      <w:proofErr w:type="spellStart"/>
      <w:r w:rsidRPr="005F0AA8">
        <w:rPr>
          <w:rFonts w:cs="Times New Roman"/>
          <w:sz w:val="22"/>
          <w:szCs w:val="22"/>
        </w:rPr>
        <w:t>pTNM</w:t>
      </w:r>
      <w:proofErr w:type="spellEnd"/>
      <w:r w:rsidRPr="005F0AA8">
        <w:rPr>
          <w:rFonts w:cs="Times New Roman"/>
          <w:sz w:val="22"/>
          <w:szCs w:val="22"/>
        </w:rPr>
        <w:t>.</w:t>
      </w:r>
    </w:p>
    <w:p w14:paraId="6FC301CC" w14:textId="095F54D1"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W przypadku </w:t>
      </w:r>
      <w:proofErr w:type="spellStart"/>
      <w:r w:rsidRPr="005F0AA8">
        <w:rPr>
          <w:rFonts w:cs="Times New Roman"/>
          <w:sz w:val="22"/>
          <w:szCs w:val="22"/>
        </w:rPr>
        <w:t>rozpoznań</w:t>
      </w:r>
      <w:proofErr w:type="spellEnd"/>
      <w:r w:rsidRPr="005F0AA8">
        <w:rPr>
          <w:rFonts w:cs="Times New Roman"/>
          <w:sz w:val="22"/>
          <w:szCs w:val="22"/>
        </w:rPr>
        <w:t xml:space="preserve"> śródoperacyjnych możliwość zapisania w dedykowanych polach: daty i godziny przekazania wyniku, komu przekazano wynik oraz w jaki sposób (kanał komunikacji).</w:t>
      </w:r>
    </w:p>
    <w:p w14:paraId="2728E832" w14:textId="29526D4D"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Możliwość wiązania stawianego rozpoznania z dokładnością do pojedynczej procedury (np. bloczka parafinowego</w:t>
      </w:r>
      <w:r w:rsidR="00D11B4F" w:rsidRPr="005F0AA8">
        <w:rPr>
          <w:rFonts w:cs="Times New Roman"/>
          <w:sz w:val="22"/>
          <w:szCs w:val="22"/>
        </w:rPr>
        <w:t xml:space="preserve"> czy preparatu</w:t>
      </w:r>
      <w:r w:rsidRPr="005F0AA8">
        <w:rPr>
          <w:rFonts w:cs="Times New Roman"/>
          <w:sz w:val="22"/>
          <w:szCs w:val="22"/>
        </w:rPr>
        <w:t>) w przypadku, całego przypadku lub dowolnej kombinacji składowych procedur. Hurtowe wiązanie pojedynczego rozpoznania ze wszystkimi procedurami składowymi.</w:t>
      </w:r>
    </w:p>
    <w:p w14:paraId="67608E05" w14:textId="5F030A0D"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Możliwość kontrasygnaty ze wskazaniem preferowanego drugiego diagnozującego lub konsultującego. Badanie przeznaczone do oceny przez drugą osobę pojawia się na liście roboczej wskazanego użytkownika.</w:t>
      </w:r>
    </w:p>
    <w:p w14:paraId="7E353712" w14:textId="371390E6"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Dostępne formularze dla </w:t>
      </w:r>
      <w:proofErr w:type="spellStart"/>
      <w:r w:rsidRPr="005F0AA8">
        <w:rPr>
          <w:rFonts w:cs="Times New Roman"/>
          <w:sz w:val="22"/>
          <w:szCs w:val="22"/>
        </w:rPr>
        <w:t>rozpoznań</w:t>
      </w:r>
      <w:proofErr w:type="spellEnd"/>
      <w:r w:rsidRPr="005F0AA8">
        <w:rPr>
          <w:rFonts w:cs="Times New Roman"/>
          <w:sz w:val="22"/>
          <w:szCs w:val="22"/>
        </w:rPr>
        <w:t xml:space="preserve"> cytologii ginekologicznej wg systemu Bethesda 2001 i 2014 (zarówno w wersji NFZ - SIMP jak i standardowej). Możliwość równoległego korzystania z różnych standardów klasyfikacji.  Rozpoznawanie i wyróżnienie wyników pozytywnych. Możliwość wpisywania wyników w wersji graficznej (poprzez formularz z polami wyboru) lub tekstowej (kodami i skrótami) z weryfikacją poprawności rozpoznania.</w:t>
      </w:r>
    </w:p>
    <w:p w14:paraId="5A8EA4E6" w14:textId="69123A4C"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Dostępne formularze dla </w:t>
      </w:r>
      <w:proofErr w:type="spellStart"/>
      <w:r w:rsidRPr="005F0AA8">
        <w:rPr>
          <w:rFonts w:cs="Times New Roman"/>
          <w:sz w:val="22"/>
          <w:szCs w:val="22"/>
        </w:rPr>
        <w:t>rozpoznań</w:t>
      </w:r>
      <w:proofErr w:type="spellEnd"/>
      <w:r w:rsidRPr="005F0AA8">
        <w:rPr>
          <w:rFonts w:cs="Times New Roman"/>
          <w:sz w:val="22"/>
          <w:szCs w:val="22"/>
        </w:rPr>
        <w:t xml:space="preserve"> cytologii wg systemu </w:t>
      </w:r>
      <w:proofErr w:type="spellStart"/>
      <w:r w:rsidRPr="005F0AA8">
        <w:rPr>
          <w:rFonts w:cs="Times New Roman"/>
          <w:sz w:val="22"/>
          <w:szCs w:val="22"/>
        </w:rPr>
        <w:t>Milano</w:t>
      </w:r>
      <w:proofErr w:type="spellEnd"/>
      <w:r w:rsidRPr="005F0AA8">
        <w:rPr>
          <w:rFonts w:cs="Times New Roman"/>
          <w:sz w:val="22"/>
          <w:szCs w:val="22"/>
        </w:rPr>
        <w:t xml:space="preserve"> (cytologia ślinianki), Bethesda (cytologia tarczycy) oraz klasyfikacji Paryskiej (cytologia moczu).</w:t>
      </w:r>
    </w:p>
    <w:p w14:paraId="2D58F308" w14:textId="06FF1D6A"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lastRenderedPageBreak/>
        <w:t>Zatwierdzanie i podpisywanie plików PDF z rozpoznaniem (wynikiem) podpisem elektronicznym (wbudowanym w plik PDF). Możliwość podpisania podpisem elektronicznym wyników wstępnych i ostatecznych.</w:t>
      </w:r>
    </w:p>
    <w:p w14:paraId="48704DD3" w14:textId="154E5119"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Zabezpieczenie przed podpisaniem podpisem innym niż zapamiętany w profilu użytkownika. Możliwość wyłączenia możliwości złożenia podpisu przez inną osobę niż odpowiedzialna za przypadek lub możliwość złożenia takiego podpisu z powiadomieniem kierownika o wystąpieniu takiej sytuacji.</w:t>
      </w:r>
    </w:p>
    <w:p w14:paraId="17668247" w14:textId="65F9643E"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Szablony </w:t>
      </w:r>
      <w:proofErr w:type="spellStart"/>
      <w:r w:rsidRPr="005F0AA8">
        <w:rPr>
          <w:rFonts w:cs="Times New Roman"/>
          <w:sz w:val="22"/>
          <w:szCs w:val="22"/>
        </w:rPr>
        <w:t>rozpoznań</w:t>
      </w:r>
      <w:proofErr w:type="spellEnd"/>
      <w:r w:rsidRPr="005F0AA8">
        <w:rPr>
          <w:rFonts w:cs="Times New Roman"/>
          <w:sz w:val="22"/>
          <w:szCs w:val="22"/>
        </w:rPr>
        <w:t xml:space="preserve"> danego użytkownika oraz globalne (dostępne dla wszystkich użytkowników z danej jednostki organizacyjnej) dodawane każdorazowo do treści poprzez wybór z listy oraz automatycznie poprzez wpisanie słowa kluczowego w trakcie tworzenia rozpoznania.</w:t>
      </w:r>
    </w:p>
    <w:p w14:paraId="52A0A37A" w14:textId="683A3D33"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Automatyczne fragmenty </w:t>
      </w:r>
      <w:proofErr w:type="spellStart"/>
      <w:r w:rsidRPr="005F0AA8">
        <w:rPr>
          <w:rFonts w:cs="Times New Roman"/>
          <w:sz w:val="22"/>
          <w:szCs w:val="22"/>
        </w:rPr>
        <w:t>rozpoznań</w:t>
      </w:r>
      <w:proofErr w:type="spellEnd"/>
      <w:r w:rsidRPr="005F0AA8">
        <w:rPr>
          <w:rFonts w:cs="Times New Roman"/>
          <w:sz w:val="22"/>
          <w:szCs w:val="22"/>
        </w:rPr>
        <w:t xml:space="preserve"> dodawane poprzez wpisanie słowa kluczowego w trakcie tworzenia rozpoznania, których treść jest dynamicznie zależna od danego przypadku, m.in. lista lokalizacji anatomicznych, lista typów preparatów immunohistochemicznych, które wystąpiły w przypadku.</w:t>
      </w:r>
    </w:p>
    <w:p w14:paraId="77AC564F" w14:textId="3DFF8B52"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Możliwość zablokowania cofnięcia zatwierdzenia wyniku przypadku i/lub możliwość cofnięcia zatwierdzonego przypadku do trybu edycji tylko przez określony czas. Po upływie tego czasu cofnięcie może być wykonane tylko przez kierownika lub administratora.</w:t>
      </w:r>
    </w:p>
    <w:p w14:paraId="2978107C" w14:textId="5BF96F13"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Możliwość łatwego podejrzenia i skopiowania obrazu makroskopowego oraz danych z poprzednich badań danego pacjenta bez opuszczania ekranu tworzonego lub edytowanego rozpoznania.</w:t>
      </w:r>
    </w:p>
    <w:p w14:paraId="7E1D1B37" w14:textId="263169B1"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Zabezpieczenie przed utratą wpisywanego opisu makroskopowego lub rozpoznania poprzez automatyczne, cykliczne zachowanie jego kopii zapasowej, np. na wypadek utraty zasilania lub łączności z serwerem. Treści </w:t>
      </w:r>
      <w:proofErr w:type="spellStart"/>
      <w:r w:rsidRPr="005F0AA8">
        <w:rPr>
          <w:rFonts w:cs="Times New Roman"/>
          <w:sz w:val="22"/>
          <w:szCs w:val="22"/>
        </w:rPr>
        <w:t>rozpoznań</w:t>
      </w:r>
      <w:proofErr w:type="spellEnd"/>
      <w:r w:rsidRPr="005F0AA8">
        <w:rPr>
          <w:rFonts w:cs="Times New Roman"/>
          <w:sz w:val="22"/>
          <w:szCs w:val="22"/>
        </w:rPr>
        <w:t xml:space="preserve"> i dane osobowe nie mogą być przechowywane na stacji roboczej użytkownika.</w:t>
      </w:r>
    </w:p>
    <w:p w14:paraId="3DAA19B2" w14:textId="2CBB2A05"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Komunikacja między diagnozującymi na zasadzie automatycznie odświeżającego się „czatu” w obrębie danego przypadku, z powiadomieniem na liście roboczej diagnozującego o nieprzeczytanym nowym wpisie w kontekście przypadku.</w:t>
      </w:r>
    </w:p>
    <w:p w14:paraId="41A8A04C" w14:textId="36C2A73E"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Możliwość oznaczania statusu zgodności </w:t>
      </w:r>
      <w:proofErr w:type="spellStart"/>
      <w:r w:rsidRPr="005F0AA8">
        <w:rPr>
          <w:rFonts w:cs="Times New Roman"/>
          <w:sz w:val="22"/>
          <w:szCs w:val="22"/>
        </w:rPr>
        <w:t>rozpoznań</w:t>
      </w:r>
      <w:proofErr w:type="spellEnd"/>
      <w:r w:rsidRPr="005F0AA8">
        <w:rPr>
          <w:rFonts w:cs="Times New Roman"/>
          <w:sz w:val="22"/>
          <w:szCs w:val="22"/>
        </w:rPr>
        <w:t xml:space="preserve"> konsultacyjnych, zgodności rozpoznania </w:t>
      </w:r>
      <w:proofErr w:type="spellStart"/>
      <w:r w:rsidRPr="005F0AA8">
        <w:rPr>
          <w:rFonts w:cs="Times New Roman"/>
          <w:sz w:val="22"/>
          <w:szCs w:val="22"/>
        </w:rPr>
        <w:t>pointrowego</w:t>
      </w:r>
      <w:proofErr w:type="spellEnd"/>
      <w:r w:rsidRPr="005F0AA8">
        <w:rPr>
          <w:rFonts w:cs="Times New Roman"/>
          <w:sz w:val="22"/>
          <w:szCs w:val="22"/>
        </w:rPr>
        <w:t xml:space="preserve">/pooperacyjnego z rozpoznaniem </w:t>
      </w:r>
      <w:proofErr w:type="spellStart"/>
      <w:r w:rsidRPr="005F0AA8">
        <w:rPr>
          <w:rFonts w:cs="Times New Roman"/>
          <w:sz w:val="22"/>
          <w:szCs w:val="22"/>
        </w:rPr>
        <w:t>introwym</w:t>
      </w:r>
      <w:proofErr w:type="spellEnd"/>
      <w:r w:rsidRPr="005F0AA8">
        <w:rPr>
          <w:rFonts w:cs="Times New Roman"/>
          <w:sz w:val="22"/>
          <w:szCs w:val="22"/>
        </w:rPr>
        <w:t xml:space="preserve"> w celu umożliwienia sporządzania statystyk.</w:t>
      </w:r>
    </w:p>
    <w:p w14:paraId="7D1A6D41" w14:textId="0C3FF42B"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Określanie korelacji (zgodności) </w:t>
      </w:r>
      <w:proofErr w:type="spellStart"/>
      <w:r w:rsidRPr="005F0AA8">
        <w:rPr>
          <w:rFonts w:cs="Times New Roman"/>
          <w:sz w:val="22"/>
          <w:szCs w:val="22"/>
        </w:rPr>
        <w:t>rozpoznań</w:t>
      </w:r>
      <w:proofErr w:type="spellEnd"/>
      <w:r w:rsidRPr="005F0AA8">
        <w:rPr>
          <w:rFonts w:cs="Times New Roman"/>
          <w:sz w:val="22"/>
          <w:szCs w:val="22"/>
        </w:rPr>
        <w:t xml:space="preserve"> z wcześniejszymi wynikami z automatyczną integracją z funkcjonalnością kontroli jakości i raportami. Możliwość wymuszenia określenia korelacji (zgodności </w:t>
      </w:r>
      <w:proofErr w:type="spellStart"/>
      <w:r w:rsidRPr="005F0AA8">
        <w:rPr>
          <w:rFonts w:cs="Times New Roman"/>
          <w:sz w:val="22"/>
          <w:szCs w:val="22"/>
        </w:rPr>
        <w:t>rozpoznań</w:t>
      </w:r>
      <w:proofErr w:type="spellEnd"/>
      <w:r w:rsidRPr="005F0AA8">
        <w:rPr>
          <w:rFonts w:cs="Times New Roman"/>
          <w:sz w:val="22"/>
          <w:szCs w:val="22"/>
        </w:rPr>
        <w:t>) dla zdefiniowanych typów badań.</w:t>
      </w:r>
    </w:p>
    <w:p w14:paraId="2159E3EE" w14:textId="0E50D854" w:rsidR="00D76B9C"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Blokada edycji </w:t>
      </w:r>
      <w:proofErr w:type="spellStart"/>
      <w:r w:rsidRPr="005F0AA8">
        <w:rPr>
          <w:rFonts w:cs="Times New Roman"/>
          <w:sz w:val="22"/>
          <w:szCs w:val="22"/>
        </w:rPr>
        <w:t>rozpoznań</w:t>
      </w:r>
      <w:proofErr w:type="spellEnd"/>
      <w:r w:rsidRPr="005F0AA8">
        <w:rPr>
          <w:rFonts w:cs="Times New Roman"/>
          <w:sz w:val="22"/>
          <w:szCs w:val="22"/>
        </w:rPr>
        <w:t xml:space="preserve"> w zatwierdzonych (i/lub podpisanych) wcześniej przypadkach/wynikach z możliwością wielokrotnego dodania uzupełnienia wyniku.</w:t>
      </w:r>
    </w:p>
    <w:p w14:paraId="625C1A2B" w14:textId="1AD0583E" w:rsidR="009E4757" w:rsidRPr="005F0AA8" w:rsidRDefault="009E4757" w:rsidP="0006659A">
      <w:pPr>
        <w:pStyle w:val="Akapitzlist"/>
        <w:numPr>
          <w:ilvl w:val="1"/>
          <w:numId w:val="13"/>
        </w:numPr>
        <w:ind w:left="567"/>
        <w:rPr>
          <w:rFonts w:cs="Times New Roman"/>
          <w:sz w:val="22"/>
          <w:szCs w:val="22"/>
        </w:rPr>
      </w:pPr>
      <w:r w:rsidRPr="005F0AA8">
        <w:rPr>
          <w:rFonts w:cs="Times New Roman"/>
          <w:sz w:val="22"/>
          <w:szCs w:val="22"/>
        </w:rPr>
        <w:t>Stanowisko wyszukiwania i wydawania wyników (sekretariat)</w:t>
      </w:r>
    </w:p>
    <w:p w14:paraId="0264E194" w14:textId="2A3B0716"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Wyszukiwanie przypadków po danych określonych w</w:t>
      </w:r>
      <w:r w:rsidR="00A60D60" w:rsidRPr="005F0AA8">
        <w:rPr>
          <w:rFonts w:cs="Times New Roman"/>
          <w:sz w:val="22"/>
          <w:szCs w:val="22"/>
        </w:rPr>
        <w:t xml:space="preserve"> punkcie</w:t>
      </w:r>
      <w:r w:rsidR="00D76B9C" w:rsidRPr="005F0AA8">
        <w:rPr>
          <w:rFonts w:cs="Times New Roman"/>
          <w:sz w:val="22"/>
          <w:szCs w:val="22"/>
        </w:rPr>
        <w:t xml:space="preserve"> </w:t>
      </w:r>
      <w:r w:rsidR="00D76B9C" w:rsidRPr="005F0AA8">
        <w:rPr>
          <w:rFonts w:cs="Times New Roman"/>
          <w:sz w:val="22"/>
          <w:szCs w:val="22"/>
        </w:rPr>
        <w:fldChar w:fldCharType="begin"/>
      </w:r>
      <w:r w:rsidR="00D76B9C" w:rsidRPr="005F0AA8">
        <w:rPr>
          <w:rFonts w:cs="Times New Roman"/>
          <w:sz w:val="22"/>
          <w:szCs w:val="22"/>
        </w:rPr>
        <w:instrText xml:space="preserve"> REF _Ref171595966 \r \h  \* MERGEFORMAT </w:instrText>
      </w:r>
      <w:r w:rsidR="00D76B9C" w:rsidRPr="005F0AA8">
        <w:rPr>
          <w:rFonts w:cs="Times New Roman"/>
          <w:sz w:val="22"/>
          <w:szCs w:val="22"/>
        </w:rPr>
      </w:r>
      <w:r w:rsidR="00D76B9C" w:rsidRPr="005F0AA8">
        <w:rPr>
          <w:rFonts w:cs="Times New Roman"/>
          <w:sz w:val="22"/>
          <w:szCs w:val="22"/>
        </w:rPr>
        <w:fldChar w:fldCharType="separate"/>
      </w:r>
      <w:r w:rsidR="00D76B9C" w:rsidRPr="005F0AA8">
        <w:rPr>
          <w:rFonts w:cs="Times New Roman"/>
          <w:sz w:val="22"/>
          <w:szCs w:val="22"/>
        </w:rPr>
        <w:t>2.1</w:t>
      </w:r>
      <w:r w:rsidR="00D76B9C" w:rsidRPr="005F0AA8">
        <w:rPr>
          <w:rFonts w:cs="Times New Roman"/>
          <w:sz w:val="22"/>
          <w:szCs w:val="22"/>
        </w:rPr>
        <w:fldChar w:fldCharType="end"/>
      </w:r>
    </w:p>
    <w:p w14:paraId="6E748F50" w14:textId="3296DEB3"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Prezentacja tabelarycznej listy wyszukanych przypadków spełniających kryteria.</w:t>
      </w:r>
    </w:p>
    <w:p w14:paraId="606ACBD3" w14:textId="7C091456"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Możliwość wydruku wersji papierowej wyniku. Liczba wydrukowanych kopii zgodna z preferencjami użytkownika i konfiguracją w kontekście zlecającego.</w:t>
      </w:r>
    </w:p>
    <w:p w14:paraId="7C1A37A3" w14:textId="26CAA7C5"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Możliwość podglądu wyniku oraz pobrania wersji PDF przez uprawnionego użytkownika.  Możliwość zabezpieczenia pliku PDF przed edycją po otworzeniu go np. w Microsoft Word.</w:t>
      </w:r>
    </w:p>
    <w:p w14:paraId="14D56E31" w14:textId="58533914"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Możliwość wyboru kryteriów i wydruku wybranych wyników.</w:t>
      </w:r>
    </w:p>
    <w:p w14:paraId="5AF0F895" w14:textId="1F27F374"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lastRenderedPageBreak/>
        <w:t>Możliwość hurtowego wydruku wyników przypadków spełniających kryteria wyszukiwania. Liczba wydrukowanych kopii zgodna z preferencjami użytkownika i konfiguracją w kontekście zlecającego.</w:t>
      </w:r>
    </w:p>
    <w:p w14:paraId="697D6177" w14:textId="1748CD23"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Wydruk etykiet adresowych na koperty z wynikami oraz na przypadki konsultacyjne (zwrot wykorzystanego materiału diagnostycznego). Możliwość skonfigurowania adresów niezależnych od zlecającego, właściwych dla pojedynczego przypadku. Możliwość skonfigurowania dowolnej liczby adresów wysyłkowych w jednym przypadku.</w:t>
      </w:r>
    </w:p>
    <w:p w14:paraId="0A10FD4E" w14:textId="0CE220DF"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Wydruk etykiet adresowych na koperty z fakturami dla kontrahentów za wykonane badania.</w:t>
      </w:r>
    </w:p>
    <w:p w14:paraId="48D26277" w14:textId="3C7EA52B"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Dedykowany ekran pozwalający na oznaczenie wyniku jako wydanego poprzez jego zeskanowanie czytnikiem kodów. Kod kreskowy na wyniku musi określać jednocześnie wersję wyniku, a podczas jego wydawania system musi weryfikować, czy wynik wydawany jest w aktualnej wersji.</w:t>
      </w:r>
    </w:p>
    <w:p w14:paraId="4A1853DC" w14:textId="7C7E2A2E"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Dedykowany ekran pozwalający na wpisanie wyniku na listę do pokwitowania. Zamknięcie listy wyników oznacza je jako wydane i pozwala na wydruk listy do pokwitowania z miejscem na podpis osoby odbierającej wyniki.  Kod kreskowy na wyniku musi określać jednocześnie wersję wyniku, a podczas jego wydawania system musi weryfikować, czy wynik wydawany jest w aktualnej wersji.</w:t>
      </w:r>
    </w:p>
    <w:p w14:paraId="56E1C643" w14:textId="55AAC82D"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Dedykowany ekran wydruku kart informacyjnych przypadku. Filtrowanie listy wg kryteriów daty dodania badania, lokalizacji. Sortowanie po numerze przypadku lub dacie dodania badania.</w:t>
      </w:r>
      <w:r w:rsidR="000C1B21" w:rsidRPr="005F0AA8">
        <w:rPr>
          <w:rFonts w:cs="Times New Roman"/>
          <w:sz w:val="22"/>
          <w:szCs w:val="22"/>
        </w:rPr>
        <w:t xml:space="preserve"> </w:t>
      </w:r>
      <w:r w:rsidRPr="005F0AA8">
        <w:rPr>
          <w:rFonts w:cs="Times New Roman"/>
          <w:sz w:val="22"/>
          <w:szCs w:val="22"/>
        </w:rPr>
        <w:t>Możliwość hurtowego lub pojedynczego wydruku kart informacyjnych przypadków z prezentowanej listy.</w:t>
      </w:r>
    </w:p>
    <w:p w14:paraId="2E7FD627" w14:textId="2E8FF804" w:rsidR="009E4757" w:rsidRPr="005F0AA8" w:rsidRDefault="009E4757" w:rsidP="0006659A">
      <w:pPr>
        <w:pStyle w:val="Akapitzlist"/>
        <w:numPr>
          <w:ilvl w:val="1"/>
          <w:numId w:val="13"/>
        </w:numPr>
        <w:ind w:left="567"/>
        <w:rPr>
          <w:rFonts w:cs="Times New Roman"/>
          <w:sz w:val="22"/>
          <w:szCs w:val="22"/>
        </w:rPr>
      </w:pPr>
      <w:r w:rsidRPr="005F0AA8">
        <w:rPr>
          <w:rFonts w:cs="Times New Roman"/>
          <w:sz w:val="22"/>
          <w:szCs w:val="22"/>
        </w:rPr>
        <w:t>Stanowisko archiwum</w:t>
      </w:r>
    </w:p>
    <w:p w14:paraId="79475986" w14:textId="296C79DA"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Obsługa archiwów dla poszczególnych obiektów (skierowanie papierowe, materiał biologiczny, bloczek parafinowy, szkiełko/preparat) i prowadzenie dla nich ewidencji zgodnie z rozporządzeniem Ministra Zdrowia z dnia 18 grudnia</w:t>
      </w:r>
      <w:r w:rsidR="00A748E6" w:rsidRPr="005F0AA8">
        <w:rPr>
          <w:rFonts w:cs="Times New Roman"/>
          <w:sz w:val="22"/>
          <w:szCs w:val="22"/>
        </w:rPr>
        <w:t xml:space="preserve"> </w:t>
      </w:r>
      <w:r w:rsidRPr="005F0AA8">
        <w:rPr>
          <w:rFonts w:cs="Times New Roman"/>
          <w:sz w:val="22"/>
          <w:szCs w:val="22"/>
        </w:rPr>
        <w:t>2017 r. (wraz z późniejszymi zmianami) w sprawie standardów organizacyjnych opieki zdrowotnej w dziedzinie patomorfologii.</w:t>
      </w:r>
    </w:p>
    <w:p w14:paraId="41427532" w14:textId="180E189F"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Przypisanie obiektu do lokalizacji w archiwum po zeskanowaniu czytnikiem kodów, w tym hurtowe.</w:t>
      </w:r>
    </w:p>
    <w:p w14:paraId="2D96E166" w14:textId="165ED786"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Lista robocza zleceń wypożyczenia bloczków i preparatów, umożliwiająca podejmowanie zleceń </w:t>
      </w:r>
      <w:proofErr w:type="spellStart"/>
      <w:r w:rsidRPr="005F0AA8">
        <w:rPr>
          <w:rFonts w:cs="Times New Roman"/>
          <w:sz w:val="22"/>
          <w:szCs w:val="22"/>
        </w:rPr>
        <w:t>wypożyczeń</w:t>
      </w:r>
      <w:proofErr w:type="spellEnd"/>
      <w:r w:rsidRPr="005F0AA8">
        <w:rPr>
          <w:rFonts w:cs="Times New Roman"/>
          <w:sz w:val="22"/>
          <w:szCs w:val="22"/>
        </w:rPr>
        <w:t xml:space="preserve">, potwierdzanie wyjęcia obiektu z archiwum, przekazanie zlecenia wypożyczenia do autoryzacji przez upoważnioną grupę użytkowników i wydawanie </w:t>
      </w:r>
      <w:proofErr w:type="spellStart"/>
      <w:r w:rsidRPr="005F0AA8">
        <w:rPr>
          <w:rFonts w:cs="Times New Roman"/>
          <w:sz w:val="22"/>
          <w:szCs w:val="22"/>
        </w:rPr>
        <w:t>wypożyczeń</w:t>
      </w:r>
      <w:proofErr w:type="spellEnd"/>
      <w:r w:rsidRPr="005F0AA8">
        <w:rPr>
          <w:rFonts w:cs="Times New Roman"/>
          <w:sz w:val="22"/>
          <w:szCs w:val="22"/>
        </w:rPr>
        <w:t>.</w:t>
      </w:r>
    </w:p>
    <w:p w14:paraId="1051BE8E" w14:textId="014418C4"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Obsługa typów </w:t>
      </w:r>
      <w:proofErr w:type="spellStart"/>
      <w:r w:rsidRPr="005F0AA8">
        <w:rPr>
          <w:rFonts w:cs="Times New Roman"/>
          <w:sz w:val="22"/>
          <w:szCs w:val="22"/>
        </w:rPr>
        <w:t>wypożyczeń</w:t>
      </w:r>
      <w:proofErr w:type="spellEnd"/>
      <w:r w:rsidRPr="005F0AA8">
        <w:rPr>
          <w:rFonts w:cs="Times New Roman"/>
          <w:sz w:val="22"/>
          <w:szCs w:val="22"/>
        </w:rPr>
        <w:t>:</w:t>
      </w:r>
    </w:p>
    <w:p w14:paraId="2B07FF6A" w14:textId="7F728A37" w:rsidR="009E4757" w:rsidRPr="005F0AA8" w:rsidRDefault="009E4757" w:rsidP="00A748E6">
      <w:pPr>
        <w:pStyle w:val="Akapitzlist"/>
        <w:numPr>
          <w:ilvl w:val="3"/>
          <w:numId w:val="13"/>
        </w:numPr>
        <w:jc w:val="both"/>
        <w:rPr>
          <w:rFonts w:cs="Times New Roman"/>
          <w:sz w:val="22"/>
          <w:szCs w:val="22"/>
        </w:rPr>
      </w:pPr>
      <w:r w:rsidRPr="005F0AA8">
        <w:rPr>
          <w:rFonts w:cs="Times New Roman"/>
          <w:sz w:val="22"/>
          <w:szCs w:val="22"/>
        </w:rPr>
        <w:t>wewnętrznych – na rzecz pracowników zakładu (do przypadków zatwierdzonych i niezatwierdzonych)</w:t>
      </w:r>
    </w:p>
    <w:p w14:paraId="6CDE5754" w14:textId="69041E48" w:rsidR="009E4757" w:rsidRPr="005F0AA8" w:rsidRDefault="009E4757" w:rsidP="00A748E6">
      <w:pPr>
        <w:pStyle w:val="Akapitzlist"/>
        <w:numPr>
          <w:ilvl w:val="3"/>
          <w:numId w:val="13"/>
        </w:numPr>
        <w:jc w:val="both"/>
        <w:rPr>
          <w:rFonts w:cs="Times New Roman"/>
          <w:sz w:val="22"/>
          <w:szCs w:val="22"/>
        </w:rPr>
      </w:pPr>
      <w:r w:rsidRPr="005F0AA8">
        <w:rPr>
          <w:rFonts w:cs="Times New Roman"/>
          <w:sz w:val="22"/>
          <w:szCs w:val="22"/>
        </w:rPr>
        <w:t>zewnętrznych – na wniosek osoby/instytucji zewnętrznej (do przypadków zatwierdzonych)</w:t>
      </w:r>
    </w:p>
    <w:p w14:paraId="28C918D8" w14:textId="123AB46A" w:rsidR="009E4757" w:rsidRPr="005F0AA8" w:rsidRDefault="009E4757" w:rsidP="00A748E6">
      <w:pPr>
        <w:pStyle w:val="Akapitzlist"/>
        <w:numPr>
          <w:ilvl w:val="3"/>
          <w:numId w:val="13"/>
        </w:numPr>
        <w:jc w:val="both"/>
        <w:rPr>
          <w:rFonts w:cs="Times New Roman"/>
          <w:sz w:val="22"/>
          <w:szCs w:val="22"/>
        </w:rPr>
      </w:pPr>
      <w:r w:rsidRPr="005F0AA8">
        <w:rPr>
          <w:rFonts w:cs="Times New Roman"/>
          <w:sz w:val="22"/>
          <w:szCs w:val="22"/>
        </w:rPr>
        <w:t>do innej jednostki organizacyjnej w obrębie oferowanego systemu (do przypadków zatwierdzonych)</w:t>
      </w:r>
    </w:p>
    <w:p w14:paraId="45CADC87" w14:textId="4FFAAE75" w:rsidR="009E4757" w:rsidRPr="005F0AA8" w:rsidRDefault="009E4757" w:rsidP="00A748E6">
      <w:pPr>
        <w:pStyle w:val="Akapitzlist"/>
        <w:numPr>
          <w:ilvl w:val="3"/>
          <w:numId w:val="13"/>
        </w:numPr>
        <w:jc w:val="both"/>
        <w:rPr>
          <w:rFonts w:cs="Times New Roman"/>
          <w:sz w:val="22"/>
          <w:szCs w:val="22"/>
        </w:rPr>
      </w:pPr>
      <w:r w:rsidRPr="005F0AA8">
        <w:rPr>
          <w:rFonts w:cs="Times New Roman"/>
          <w:sz w:val="22"/>
          <w:szCs w:val="22"/>
        </w:rPr>
        <w:t>do zewnętrznej konsultacji – z otwartego przypadku do zewnętrznego ośrodka konsultacyjnego (do przypadków niezatwierdzonych).</w:t>
      </w:r>
    </w:p>
    <w:p w14:paraId="127AFA84" w14:textId="1C92779A"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Zabezpieczenie przed próbą powtórnego wypożyczenia już wypożyczonego obiektu.</w:t>
      </w:r>
    </w:p>
    <w:p w14:paraId="12E95AC5" w14:textId="5F29A0FC"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Zabezpieczenie przed próbą rejestracji zlecenia barwienia dodatkowego do bloczka, który jest wypożyczony. Zabezpieczenie przed próbą archiwizacji bloczka, do którego wystawiono zlecenie barwienia dodatkowego.</w:t>
      </w:r>
    </w:p>
    <w:p w14:paraId="2B7C3EB8" w14:textId="77777777" w:rsidR="009D7F90"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lastRenderedPageBreak/>
        <w:t>Funkcjonalność wypożyczenia i zwrotu preparatu/bloczka z danego przypadku (w tym zwrotu częściowego) z datą wypożyczenia, instytucją, osobą wypożyczającą, celem wypożyczenia oraz wydrukiem wniosku i możliwością dołączenia skanu wniosku oraz upoważnienia.</w:t>
      </w:r>
      <w:r w:rsidR="00946B5F" w:rsidRPr="005F0AA8">
        <w:rPr>
          <w:rFonts w:cs="Times New Roman"/>
          <w:sz w:val="22"/>
          <w:szCs w:val="22"/>
        </w:rPr>
        <w:t xml:space="preserve"> </w:t>
      </w:r>
    </w:p>
    <w:p w14:paraId="05342EC8" w14:textId="680BE5D0"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Możliwość oznaczenia otrzymania faktury za konsultację z innym ośrodkiem.</w:t>
      </w:r>
    </w:p>
    <w:p w14:paraId="3DF372D7" w14:textId="426790A7"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Obsługa archiwum materiałów tkankowych pozostałych po pobraniu. Możliwość zmiany standardowego okresu archiwizacji materiałów tkankowych poprzez wybranie innego profilu utylizacji lub podanie konkretnej daty utylizacji. Prezentacja informacji o zwolnieniu do utylizacji po upływie zdefiniowanego czasu od autoryzacji wyniku.</w:t>
      </w:r>
    </w:p>
    <w:p w14:paraId="3F89872F" w14:textId="27CE1129"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Materiał oznaczony jako wyskrobiny z jamy macicy po poronieniu powinien móc zostać zwolniony z archiwum przed obliczonym terminem utylizacji, np. w przypadku odbioru materiału do pochówku.</w:t>
      </w:r>
    </w:p>
    <w:p w14:paraId="1A13F131" w14:textId="10EFE3BB"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Obsługa zasobników archiwizacji. Zasobniki na archiwizację bloczków, preparatów, skierowań. Każdy zasobnik powinien mieć swój kod możliwy do wydrukowania i odczytania czytnikiem. Każdy zasobnik powinien mieć swoją pojemność, która nie może zostać przekroczona. Każdy zasobnik powinien mieć określone miejsce archiwizacji. Zasobniki wraz z zawartością powinny móc być przenoszone hurtowo w inne miejsce lub do innego archiwum bez konieczności ponownego skanowania obiektów znajdujących się w zasobniku. Różne typy zasobników powinny móc być numerowane zgodnie ze wzorem numeracji właściwym dla danego typu.</w:t>
      </w:r>
    </w:p>
    <w:p w14:paraId="0A18937C" w14:textId="3EF9215F" w:rsidR="009E4757" w:rsidRPr="005F0AA8" w:rsidRDefault="009E4757" w:rsidP="0006659A">
      <w:pPr>
        <w:pStyle w:val="Akapitzlist"/>
        <w:numPr>
          <w:ilvl w:val="1"/>
          <w:numId w:val="13"/>
        </w:numPr>
        <w:ind w:left="567"/>
        <w:rPr>
          <w:rFonts w:cs="Times New Roman"/>
          <w:sz w:val="22"/>
          <w:szCs w:val="22"/>
        </w:rPr>
      </w:pPr>
      <w:r w:rsidRPr="005F0AA8">
        <w:rPr>
          <w:rFonts w:cs="Times New Roman"/>
          <w:sz w:val="22"/>
          <w:szCs w:val="22"/>
        </w:rPr>
        <w:t xml:space="preserve">Monitoring zleceń </w:t>
      </w:r>
      <w:proofErr w:type="spellStart"/>
      <w:r w:rsidRPr="005F0AA8">
        <w:rPr>
          <w:rFonts w:cs="Times New Roman"/>
          <w:sz w:val="22"/>
          <w:szCs w:val="22"/>
        </w:rPr>
        <w:t>barwień</w:t>
      </w:r>
      <w:proofErr w:type="spellEnd"/>
      <w:r w:rsidRPr="005F0AA8">
        <w:rPr>
          <w:rFonts w:cs="Times New Roman"/>
          <w:sz w:val="22"/>
          <w:szCs w:val="22"/>
        </w:rPr>
        <w:t>.</w:t>
      </w:r>
    </w:p>
    <w:p w14:paraId="6BDEB5BD" w14:textId="2CA87CFE"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 xml:space="preserve">Dedykowany ekran pokazujący liczbę i sumę zleconych </w:t>
      </w:r>
      <w:proofErr w:type="spellStart"/>
      <w:r w:rsidRPr="005F0AA8">
        <w:rPr>
          <w:rFonts w:cs="Times New Roman"/>
          <w:sz w:val="22"/>
          <w:szCs w:val="22"/>
        </w:rPr>
        <w:t>barwień</w:t>
      </w:r>
      <w:proofErr w:type="spellEnd"/>
      <w:r w:rsidRPr="005F0AA8">
        <w:rPr>
          <w:rFonts w:cs="Times New Roman"/>
          <w:sz w:val="22"/>
          <w:szCs w:val="22"/>
        </w:rPr>
        <w:t xml:space="preserve"> (wszystkich rodzajów wykonywanych w zakładzie) na danym etapie: zlecone, wyszukiwane w archiwum, przekazane do krojenia, krojenie, przekazane do barwienia, barwienie. Lista powinna być pogrupowana wg typu barwienia.</w:t>
      </w:r>
    </w:p>
    <w:p w14:paraId="4310A016" w14:textId="64101B91" w:rsidR="009E4757" w:rsidRPr="005F0AA8" w:rsidRDefault="009E4757" w:rsidP="00A748E6">
      <w:pPr>
        <w:pStyle w:val="Akapitzlist"/>
        <w:numPr>
          <w:ilvl w:val="2"/>
          <w:numId w:val="13"/>
        </w:numPr>
        <w:ind w:left="1134"/>
        <w:jc w:val="both"/>
        <w:rPr>
          <w:rFonts w:cs="Times New Roman"/>
          <w:sz w:val="22"/>
          <w:szCs w:val="22"/>
        </w:rPr>
      </w:pPr>
      <w:r w:rsidRPr="005F0AA8">
        <w:rPr>
          <w:rFonts w:cs="Times New Roman"/>
          <w:sz w:val="22"/>
          <w:szCs w:val="22"/>
        </w:rPr>
        <w:t>Dedykowany ekran określania szczegółowego protokołu barwienia. Po zeskanowaniu kodu kreskowego preparatu posiadającego wiele dostępnych protokołów barwienia prezentacja opcji do manualnego wyboru przez użytkownika.</w:t>
      </w:r>
      <w:r w:rsidR="00946B5F" w:rsidRPr="005F0AA8">
        <w:rPr>
          <w:rFonts w:cs="Times New Roman"/>
          <w:sz w:val="22"/>
          <w:szCs w:val="22"/>
        </w:rPr>
        <w:t xml:space="preserve"> </w:t>
      </w:r>
      <w:r w:rsidR="00946B5F" w:rsidRPr="005F0AA8">
        <w:rPr>
          <w:rFonts w:cs="Times New Roman"/>
          <w:sz w:val="22"/>
          <w:szCs w:val="22"/>
        </w:rPr>
        <w:br/>
      </w:r>
      <w:r w:rsidRPr="005F0AA8">
        <w:rPr>
          <w:rFonts w:cs="Times New Roman"/>
          <w:sz w:val="22"/>
          <w:szCs w:val="22"/>
        </w:rPr>
        <w:t>Wybranie opcji zmienia typ preparatu z ogólnego na bardziej szczegółowy.</w:t>
      </w:r>
    </w:p>
    <w:p w14:paraId="6FDA39EA" w14:textId="78468717" w:rsidR="009E4757" w:rsidRPr="005F0AA8" w:rsidRDefault="009E4757" w:rsidP="009A6A8E">
      <w:pPr>
        <w:pStyle w:val="Nagwek1"/>
        <w:numPr>
          <w:ilvl w:val="0"/>
          <w:numId w:val="13"/>
        </w:numPr>
        <w:rPr>
          <w:rFonts w:cs="Times New Roman"/>
          <w:color w:val="auto"/>
          <w:sz w:val="22"/>
          <w:szCs w:val="22"/>
        </w:rPr>
      </w:pPr>
      <w:bookmarkStart w:id="11" w:name="_Toc194396361"/>
      <w:r w:rsidRPr="005F0AA8">
        <w:rPr>
          <w:rFonts w:cs="Times New Roman"/>
          <w:color w:val="auto"/>
          <w:sz w:val="22"/>
          <w:szCs w:val="22"/>
        </w:rPr>
        <w:t>Śledzenie przypadku</w:t>
      </w:r>
      <w:bookmarkEnd w:id="11"/>
    </w:p>
    <w:p w14:paraId="3F78C08A" w14:textId="77777777" w:rsidR="003A1C72" w:rsidRPr="005F0AA8" w:rsidRDefault="003A1C72" w:rsidP="003A1C72">
      <w:pPr>
        <w:rPr>
          <w:rFonts w:cs="Times New Roman"/>
          <w:sz w:val="22"/>
          <w:szCs w:val="22"/>
        </w:rPr>
      </w:pPr>
    </w:p>
    <w:p w14:paraId="21ECC29E" w14:textId="1D36B2C0"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 xml:space="preserve">Informacja dla obiektów (skierowanie, materiał, </w:t>
      </w:r>
      <w:proofErr w:type="spellStart"/>
      <w:r w:rsidRPr="005F0AA8">
        <w:rPr>
          <w:rFonts w:cs="Times New Roman"/>
          <w:sz w:val="22"/>
          <w:szCs w:val="22"/>
        </w:rPr>
        <w:t>odwapniacze</w:t>
      </w:r>
      <w:proofErr w:type="spellEnd"/>
      <w:r w:rsidRPr="005F0AA8">
        <w:rPr>
          <w:rFonts w:cs="Times New Roman"/>
          <w:sz w:val="22"/>
          <w:szCs w:val="22"/>
        </w:rPr>
        <w:t>, bloczki, preparaty, etapy procesu) o statusie postępu obróbki technicznej, lokalizacji w obrębie struktury organizacyjnej (stanowiska komputerowego, na którym ostatnio był zeskanowany w celu zmiany statusu) oraz osobach zmieniających status obiektów i czasie każdej z dokonanych zmian.</w:t>
      </w:r>
    </w:p>
    <w:p w14:paraId="12F2DD93" w14:textId="03BB54BE"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Automatyczna integracja ekranów stanowiskowych (m.in. zatapianie, krojenie, kompletacja itp.) z funkcjonalnością śledzenia przypadku.</w:t>
      </w:r>
    </w:p>
    <w:p w14:paraId="0A2B1065" w14:textId="06A02908"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Funkcja „szybkiego statusu” pokazująca kluczowe informacje na temat etapu diagnostyki danego badania i bieżącej lokalizacji skierowania, materiałów, bloczków i preparatów.</w:t>
      </w:r>
    </w:p>
    <w:p w14:paraId="3120AAD0" w14:textId="64FB9D09" w:rsidR="009E4757" w:rsidRPr="005F0AA8" w:rsidRDefault="009E4757" w:rsidP="009A6A8E">
      <w:pPr>
        <w:pStyle w:val="Nagwek1"/>
        <w:numPr>
          <w:ilvl w:val="0"/>
          <w:numId w:val="13"/>
        </w:numPr>
        <w:rPr>
          <w:rFonts w:cs="Times New Roman"/>
          <w:color w:val="auto"/>
          <w:sz w:val="22"/>
          <w:szCs w:val="22"/>
        </w:rPr>
      </w:pPr>
      <w:bookmarkStart w:id="12" w:name="_Toc194396362"/>
      <w:r w:rsidRPr="005F0AA8">
        <w:rPr>
          <w:rFonts w:cs="Times New Roman"/>
          <w:color w:val="auto"/>
          <w:sz w:val="22"/>
          <w:szCs w:val="22"/>
        </w:rPr>
        <w:t>Zlecenia wewnętrzne (między jednostkami organizacyjnymi)</w:t>
      </w:r>
      <w:bookmarkEnd w:id="12"/>
    </w:p>
    <w:p w14:paraId="75DA3872" w14:textId="77777777" w:rsidR="003A1C72" w:rsidRPr="005F0AA8" w:rsidRDefault="003A1C72" w:rsidP="003A1C72">
      <w:pPr>
        <w:rPr>
          <w:rFonts w:cs="Times New Roman"/>
          <w:sz w:val="22"/>
          <w:szCs w:val="22"/>
        </w:rPr>
      </w:pPr>
    </w:p>
    <w:p w14:paraId="4D45C946" w14:textId="2387EDCB"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Zlecenia wewnętrzne między jednostkami organizacyjnymi w oparciu o różne szablony formularzy zleceń.</w:t>
      </w:r>
    </w:p>
    <w:p w14:paraId="094768DC" w14:textId="33155116"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Powiadamianie osoby zlecającej o wykonaniu zlecenia.</w:t>
      </w:r>
    </w:p>
    <w:p w14:paraId="138E7F04" w14:textId="06F8DB76"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lastRenderedPageBreak/>
        <w:t xml:space="preserve">Zlecenia </w:t>
      </w:r>
      <w:proofErr w:type="spellStart"/>
      <w:r w:rsidRPr="005F0AA8">
        <w:rPr>
          <w:rFonts w:cs="Times New Roman"/>
          <w:sz w:val="22"/>
          <w:szCs w:val="22"/>
        </w:rPr>
        <w:t>barwień</w:t>
      </w:r>
      <w:proofErr w:type="spellEnd"/>
      <w:r w:rsidRPr="005F0AA8">
        <w:rPr>
          <w:rFonts w:cs="Times New Roman"/>
          <w:sz w:val="22"/>
          <w:szCs w:val="22"/>
        </w:rPr>
        <w:t xml:space="preserve"> dodatkowych (np. </w:t>
      </w:r>
      <w:proofErr w:type="spellStart"/>
      <w:r w:rsidRPr="005F0AA8">
        <w:rPr>
          <w:rFonts w:cs="Times New Roman"/>
          <w:sz w:val="22"/>
          <w:szCs w:val="22"/>
        </w:rPr>
        <w:t>immunohistochemia</w:t>
      </w:r>
      <w:proofErr w:type="spellEnd"/>
      <w:r w:rsidRPr="005F0AA8">
        <w:rPr>
          <w:rFonts w:cs="Times New Roman"/>
          <w:sz w:val="22"/>
          <w:szCs w:val="22"/>
        </w:rPr>
        <w:t>, histochemia itp.) wraz z kontrolą poprawności zlecenia (m.in. rodzaj preparatu wykonywany przez daną pracownię, której wystawia się zlecenie, dostępność barwienia w czasie, zgodność typu barwienia z typem badania). Zlecenie musi obejmować etap wyszukiwania bloczka parafinowego w archiwum, jeżeli bloczek został zarchiwizowany.</w:t>
      </w:r>
    </w:p>
    <w:p w14:paraId="5CAB6DAE" w14:textId="3E8C1093"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Zlecenie barwienia dodatkowego musi obejmować etap wyszukiwania w archiwum wraz z prezentacją zlecenia na dedykowanej liście roboczej archiwisty, jeżeli bloczek, z którego zlecono barwienie dodatkowe został już umieszczony w archiwum.</w:t>
      </w:r>
    </w:p>
    <w:p w14:paraId="379B9303" w14:textId="56FE47E1"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 xml:space="preserve">Kontrola negatywna oraz kontrola pozytywna dla </w:t>
      </w:r>
      <w:proofErr w:type="spellStart"/>
      <w:r w:rsidRPr="005F0AA8">
        <w:rPr>
          <w:rFonts w:cs="Times New Roman"/>
          <w:sz w:val="22"/>
          <w:szCs w:val="22"/>
        </w:rPr>
        <w:t>barwień</w:t>
      </w:r>
      <w:proofErr w:type="spellEnd"/>
      <w:r w:rsidRPr="005F0AA8">
        <w:rPr>
          <w:rFonts w:cs="Times New Roman"/>
          <w:sz w:val="22"/>
          <w:szCs w:val="22"/>
        </w:rPr>
        <w:t xml:space="preserve"> dodatkowych: możliwość zdefiniowania dla każdego typu preparatu dodatkowego preparatu kontroli negatywnej oraz kontroli pozytywnej, które będą się automatycznie dodawać, przy wystawianiu zleceń </w:t>
      </w:r>
      <w:proofErr w:type="spellStart"/>
      <w:r w:rsidRPr="005F0AA8">
        <w:rPr>
          <w:rFonts w:cs="Times New Roman"/>
          <w:sz w:val="22"/>
          <w:szCs w:val="22"/>
        </w:rPr>
        <w:t>barwień</w:t>
      </w:r>
      <w:proofErr w:type="spellEnd"/>
      <w:r w:rsidRPr="005F0AA8">
        <w:rPr>
          <w:rFonts w:cs="Times New Roman"/>
          <w:sz w:val="22"/>
          <w:szCs w:val="22"/>
        </w:rPr>
        <w:t xml:space="preserve"> dodatkowych.</w:t>
      </w:r>
    </w:p>
    <w:p w14:paraId="08AAF224" w14:textId="4442EF6D"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 xml:space="preserve">Możliwość wyboru zlecanego barwienia ze słownika. </w:t>
      </w:r>
    </w:p>
    <w:p w14:paraId="140D8526" w14:textId="07181E43"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 xml:space="preserve">Obsługa paneli </w:t>
      </w:r>
      <w:proofErr w:type="spellStart"/>
      <w:r w:rsidRPr="005F0AA8">
        <w:rPr>
          <w:rFonts w:cs="Times New Roman"/>
          <w:sz w:val="22"/>
          <w:szCs w:val="22"/>
        </w:rPr>
        <w:t>barwień</w:t>
      </w:r>
      <w:proofErr w:type="spellEnd"/>
      <w:r w:rsidRPr="005F0AA8">
        <w:rPr>
          <w:rFonts w:cs="Times New Roman"/>
          <w:sz w:val="22"/>
          <w:szCs w:val="22"/>
        </w:rPr>
        <w:t xml:space="preserve"> dodatkowych.</w:t>
      </w:r>
    </w:p>
    <w:p w14:paraId="65B9D1DA" w14:textId="7AFB53A3"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 xml:space="preserve">Możliwość ponownego zlecenia ostatnio zleconego zestawu </w:t>
      </w:r>
      <w:proofErr w:type="spellStart"/>
      <w:r w:rsidRPr="005F0AA8">
        <w:rPr>
          <w:rFonts w:cs="Times New Roman"/>
          <w:sz w:val="22"/>
          <w:szCs w:val="22"/>
        </w:rPr>
        <w:t>barwień</w:t>
      </w:r>
      <w:proofErr w:type="spellEnd"/>
      <w:r w:rsidRPr="005F0AA8">
        <w:rPr>
          <w:rFonts w:cs="Times New Roman"/>
          <w:sz w:val="22"/>
          <w:szCs w:val="22"/>
        </w:rPr>
        <w:t xml:space="preserve"> do kolejnego bloczka bez określania każdego barwienia z osobna.</w:t>
      </w:r>
    </w:p>
    <w:p w14:paraId="24B48A3D" w14:textId="00C3962F"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Obsługa zleceń dobierania (II rzutu) – dodatkowego dobierania materiału z pojemnika z utrwalonym materiałem tkankowym (np. formaliną) w celu uzyskania dodatkowych bloczków parafinowych z materiału tkankowego, z lokalizacji wskazanej przez zlecającego patomorfologa.  Dedykowana lista robocza archiwisty związana z obsługą zleceń dobierania i przekazywania materiału osobom zajmującym się pobieraniem materiału do kasetek histopatologicznych na stanowisku pobierania.</w:t>
      </w:r>
    </w:p>
    <w:p w14:paraId="3D280B2B" w14:textId="0004864C"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Zlecenia wypożyczenia bloczków i preparatów z archiwum (wewnętrzne, zewnętrzne, do innej jednostki organizacyjnej, na potrzeby konsultacji z innym ośrodkiem).</w:t>
      </w:r>
    </w:p>
    <w:p w14:paraId="444155A0" w14:textId="28376A12"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Zlecenia przebarwień preparatów.</w:t>
      </w:r>
    </w:p>
    <w:p w14:paraId="197EAF46" w14:textId="5CFAD75F" w:rsidR="009E4757" w:rsidRPr="005F0AA8" w:rsidRDefault="009E4757" w:rsidP="009A6A8E">
      <w:pPr>
        <w:pStyle w:val="Nagwek1"/>
        <w:numPr>
          <w:ilvl w:val="0"/>
          <w:numId w:val="13"/>
        </w:numPr>
        <w:rPr>
          <w:rFonts w:cs="Times New Roman"/>
          <w:color w:val="auto"/>
          <w:sz w:val="22"/>
          <w:szCs w:val="22"/>
        </w:rPr>
      </w:pPr>
      <w:bookmarkStart w:id="13" w:name="_Toc194396363"/>
      <w:r w:rsidRPr="005F0AA8">
        <w:rPr>
          <w:rFonts w:cs="Times New Roman"/>
          <w:color w:val="auto"/>
          <w:sz w:val="22"/>
          <w:szCs w:val="22"/>
        </w:rPr>
        <w:t>Raporty i statystyki</w:t>
      </w:r>
      <w:bookmarkEnd w:id="13"/>
    </w:p>
    <w:p w14:paraId="7F318677" w14:textId="77777777" w:rsidR="003A1C72" w:rsidRPr="005F0AA8" w:rsidRDefault="003A1C72" w:rsidP="003A1C72">
      <w:pPr>
        <w:rPr>
          <w:rFonts w:cs="Times New Roman"/>
          <w:sz w:val="22"/>
          <w:szCs w:val="22"/>
        </w:rPr>
      </w:pPr>
    </w:p>
    <w:p w14:paraId="6CC83546" w14:textId="77777777" w:rsidR="003A1C72"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Wydruki ksiąg pracowni (osobno dla pracowni diagnostycznych i dla pracowni realizujących barwienia dodatkowe)</w:t>
      </w:r>
      <w:r w:rsidR="003A1C72" w:rsidRPr="005F0AA8">
        <w:rPr>
          <w:rFonts w:cs="Times New Roman"/>
          <w:sz w:val="22"/>
          <w:szCs w:val="22"/>
        </w:rPr>
        <w:t>.</w:t>
      </w:r>
    </w:p>
    <w:p w14:paraId="7A5CCF1C" w14:textId="77777777" w:rsidR="003F0831" w:rsidRPr="005F0AA8" w:rsidRDefault="003F0831" w:rsidP="003A1C72">
      <w:pPr>
        <w:pStyle w:val="Akapitzlist"/>
        <w:numPr>
          <w:ilvl w:val="2"/>
          <w:numId w:val="13"/>
        </w:numPr>
        <w:ind w:left="1134"/>
        <w:jc w:val="both"/>
        <w:rPr>
          <w:rFonts w:cs="Times New Roman"/>
          <w:sz w:val="22"/>
          <w:szCs w:val="22"/>
        </w:rPr>
      </w:pPr>
      <w:r w:rsidRPr="005F0AA8">
        <w:rPr>
          <w:rFonts w:cs="Times New Roman"/>
          <w:sz w:val="22"/>
          <w:szCs w:val="22"/>
        </w:rPr>
        <w:t>Dla księgi pracowni diagnostycznej: kryteria wejściowe: data rejestracji od-do, jednostka organizacyjna, zlecający i oddział. Raport powinien zawierać datę wpisu, numer wpisu (księgi pracowni), dane pacjenta, dane lekarza kierującego, datę pobrania, dane zlecającego, badania, identyfikator rejestrującego.</w:t>
      </w:r>
    </w:p>
    <w:p w14:paraId="13F4ED04" w14:textId="033BF1FC" w:rsidR="009E4757" w:rsidRPr="005F0AA8" w:rsidRDefault="003F0831" w:rsidP="003A1C72">
      <w:pPr>
        <w:pStyle w:val="Akapitzlist"/>
        <w:numPr>
          <w:ilvl w:val="2"/>
          <w:numId w:val="13"/>
        </w:numPr>
        <w:ind w:left="1134"/>
        <w:jc w:val="both"/>
        <w:rPr>
          <w:rFonts w:cs="Times New Roman"/>
          <w:sz w:val="22"/>
          <w:szCs w:val="22"/>
        </w:rPr>
      </w:pPr>
      <w:r w:rsidRPr="005F0AA8">
        <w:rPr>
          <w:rFonts w:cs="Times New Roman"/>
          <w:sz w:val="22"/>
          <w:szCs w:val="22"/>
        </w:rPr>
        <w:t xml:space="preserve">Dla księgi </w:t>
      </w:r>
      <w:proofErr w:type="spellStart"/>
      <w:r w:rsidRPr="005F0AA8">
        <w:rPr>
          <w:rFonts w:cs="Times New Roman"/>
          <w:sz w:val="22"/>
          <w:szCs w:val="22"/>
        </w:rPr>
        <w:t>barwień</w:t>
      </w:r>
      <w:proofErr w:type="spellEnd"/>
      <w:r w:rsidRPr="005F0AA8">
        <w:rPr>
          <w:rFonts w:cs="Times New Roman"/>
          <w:sz w:val="22"/>
          <w:szCs w:val="22"/>
        </w:rPr>
        <w:t xml:space="preserve"> dodatkowych: kryteria wejściowe: data rejestracji od-do, jednostka organizacyjna. Raport powinien zawierać datę wpisu, dane zleceniodawcy, numer wpisu (księgi pracowni), dane pacjenta, dane zlecającego barwienie, numer bloczka, zlecone barwienia, liczbę </w:t>
      </w:r>
      <w:proofErr w:type="spellStart"/>
      <w:r w:rsidRPr="005F0AA8">
        <w:rPr>
          <w:rFonts w:cs="Times New Roman"/>
          <w:sz w:val="22"/>
          <w:szCs w:val="22"/>
        </w:rPr>
        <w:t>barwień</w:t>
      </w:r>
      <w:proofErr w:type="spellEnd"/>
      <w:r w:rsidRPr="005F0AA8">
        <w:rPr>
          <w:rFonts w:cs="Times New Roman"/>
          <w:sz w:val="22"/>
          <w:szCs w:val="22"/>
        </w:rPr>
        <w:t>, datę wydania preparatów</w:t>
      </w:r>
      <w:r w:rsidR="009E4757" w:rsidRPr="005F0AA8">
        <w:rPr>
          <w:rFonts w:cs="Times New Roman"/>
          <w:sz w:val="22"/>
          <w:szCs w:val="22"/>
        </w:rPr>
        <w:t>.</w:t>
      </w:r>
    </w:p>
    <w:p w14:paraId="3D151327" w14:textId="1CE35B11"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Wydruk księgi pracowni diagnostycznej - wg zarejestrowanych materiałów</w:t>
      </w:r>
      <w:r w:rsidR="00946B5F" w:rsidRPr="005F0AA8">
        <w:rPr>
          <w:rFonts w:cs="Times New Roman"/>
          <w:sz w:val="22"/>
          <w:szCs w:val="22"/>
        </w:rPr>
        <w:t>.</w:t>
      </w:r>
      <w:r w:rsidR="00223572" w:rsidRPr="005F0AA8">
        <w:rPr>
          <w:rFonts w:cs="Times New Roman"/>
          <w:sz w:val="22"/>
          <w:szCs w:val="22"/>
        </w:rPr>
        <w:t xml:space="preserve"> </w:t>
      </w:r>
      <w:r w:rsidR="00223572" w:rsidRPr="005F0AA8">
        <w:rPr>
          <w:rFonts w:cs="Times New Roman"/>
          <w:sz w:val="22"/>
          <w:szCs w:val="22"/>
        </w:rPr>
        <w:br/>
      </w:r>
      <w:r w:rsidRPr="005F0AA8">
        <w:rPr>
          <w:rFonts w:cs="Times New Roman"/>
          <w:sz w:val="22"/>
          <w:szCs w:val="22"/>
        </w:rPr>
        <w:t xml:space="preserve">Kryteria wejściowe: data rejestracji od-do, jednostka organizacyjna. Raport powinien zawierać kolumny: datę przyjęcia materiału, numer wpisu (księgi pracowni), numer i rodzaj przyjętego materiału, </w:t>
      </w:r>
      <w:proofErr w:type="spellStart"/>
      <w:r w:rsidRPr="005F0AA8">
        <w:rPr>
          <w:rFonts w:cs="Times New Roman"/>
          <w:sz w:val="22"/>
          <w:szCs w:val="22"/>
        </w:rPr>
        <w:t>pH</w:t>
      </w:r>
      <w:proofErr w:type="spellEnd"/>
      <w:r w:rsidRPr="005F0AA8">
        <w:rPr>
          <w:rFonts w:cs="Times New Roman"/>
          <w:sz w:val="22"/>
          <w:szCs w:val="22"/>
        </w:rPr>
        <w:t xml:space="preserve"> materiału, dane pacjenta, dane zlecającego, identyfikator rejestrującego.</w:t>
      </w:r>
    </w:p>
    <w:p w14:paraId="66447103" w14:textId="2B905ECE"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Wydruk księgi pracowni diagnostycznej - wg zarejestrowanych badań (bloczków)</w:t>
      </w:r>
      <w:r w:rsidR="00223572" w:rsidRPr="005F0AA8">
        <w:rPr>
          <w:rFonts w:cs="Times New Roman"/>
          <w:sz w:val="22"/>
          <w:szCs w:val="22"/>
        </w:rPr>
        <w:br/>
      </w:r>
      <w:r w:rsidRPr="005F0AA8">
        <w:rPr>
          <w:rFonts w:cs="Times New Roman"/>
          <w:sz w:val="22"/>
          <w:szCs w:val="22"/>
        </w:rPr>
        <w:t>Kryteria wejściowe: data rejestracji od-do, jednostka organizacyjna. Raport powinien zawierać kolumny: datę rejestracji bloczka, numer wpisu (księgi pracowni), numer i rodzaj badania, dane pacjenta, dane zlecającego, identyfikator rejestrującego.</w:t>
      </w:r>
    </w:p>
    <w:p w14:paraId="0DDAEA14" w14:textId="0A16AA96"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lastRenderedPageBreak/>
        <w:t>Raport statystyk pracowni diagnostycznej - badania wg miejsca powstania</w:t>
      </w:r>
      <w:r w:rsidR="00223572" w:rsidRPr="005F0AA8">
        <w:rPr>
          <w:rFonts w:cs="Times New Roman"/>
          <w:sz w:val="22"/>
          <w:szCs w:val="22"/>
        </w:rPr>
        <w:t xml:space="preserve"> </w:t>
      </w:r>
      <w:r w:rsidR="00223572" w:rsidRPr="005F0AA8">
        <w:rPr>
          <w:rFonts w:cs="Times New Roman"/>
          <w:sz w:val="22"/>
          <w:szCs w:val="22"/>
        </w:rPr>
        <w:br/>
      </w:r>
      <w:r w:rsidRPr="005F0AA8">
        <w:rPr>
          <w:rFonts w:cs="Times New Roman"/>
          <w:sz w:val="22"/>
          <w:szCs w:val="22"/>
        </w:rPr>
        <w:t>Kryteria wejściowe: data rejestracji od-do, jednostka organizacyjna, zlecający, oddział zlecającego. Raport powinien zawierać kolumny: miejsce (stanowisko) rejestracji badania, identyfikator rejestrującego, rodzaj badania, liczbę zarejestrowanych badań.</w:t>
      </w:r>
    </w:p>
    <w:p w14:paraId="315922FF"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statystyk pracowni diagnostycznej - bloczki zatopione wg miejsca</w:t>
      </w:r>
    </w:p>
    <w:p w14:paraId="5D118A7C" w14:textId="46687B90"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data rejestracji od-do, jednostka organizacyjna, zlecający, oddział zlecającego. Raport powinien zawierać kolumny: miejsce (stanowisko) zatopienia, identyfikator zatapiającego, rodzaj badania, liczbę badań oznaczonych jako zatopione.</w:t>
      </w:r>
    </w:p>
    <w:p w14:paraId="145D881B" w14:textId="244722A5" w:rsidR="003F0831" w:rsidRPr="005F0AA8" w:rsidRDefault="003F0831" w:rsidP="003A1C72">
      <w:pPr>
        <w:pStyle w:val="Akapitzlist"/>
        <w:numPr>
          <w:ilvl w:val="1"/>
          <w:numId w:val="13"/>
        </w:numPr>
        <w:ind w:left="567"/>
        <w:jc w:val="both"/>
        <w:rPr>
          <w:rFonts w:cs="Times New Roman"/>
          <w:sz w:val="22"/>
          <w:szCs w:val="22"/>
        </w:rPr>
      </w:pPr>
      <w:r w:rsidRPr="005F0AA8">
        <w:rPr>
          <w:rFonts w:cs="Times New Roman"/>
          <w:sz w:val="22"/>
          <w:szCs w:val="22"/>
        </w:rPr>
        <w:t xml:space="preserve">Raport księgi </w:t>
      </w:r>
      <w:proofErr w:type="spellStart"/>
      <w:r w:rsidRPr="005F0AA8">
        <w:rPr>
          <w:rFonts w:cs="Times New Roman"/>
          <w:sz w:val="22"/>
          <w:szCs w:val="22"/>
        </w:rPr>
        <w:t>wypożycze</w:t>
      </w:r>
      <w:r w:rsidR="004C7B51" w:rsidRPr="005F0AA8">
        <w:rPr>
          <w:rFonts w:cs="Times New Roman"/>
          <w:sz w:val="22"/>
          <w:szCs w:val="22"/>
        </w:rPr>
        <w:t>ń</w:t>
      </w:r>
      <w:proofErr w:type="spellEnd"/>
      <w:r w:rsidRPr="005F0AA8">
        <w:rPr>
          <w:rFonts w:cs="Times New Roman"/>
          <w:sz w:val="22"/>
          <w:szCs w:val="22"/>
        </w:rPr>
        <w:t xml:space="preserve"> wewnętrznych</w:t>
      </w:r>
    </w:p>
    <w:p w14:paraId="5B67E220" w14:textId="0D9BD0E9" w:rsidR="003F0831" w:rsidRPr="005F0AA8" w:rsidRDefault="003F0831" w:rsidP="003F0831">
      <w:pPr>
        <w:pStyle w:val="Akapitzlist"/>
        <w:ind w:left="567"/>
        <w:jc w:val="both"/>
        <w:rPr>
          <w:rFonts w:cs="Times New Roman"/>
          <w:sz w:val="22"/>
          <w:szCs w:val="22"/>
        </w:rPr>
      </w:pPr>
      <w:r w:rsidRPr="005F0AA8">
        <w:rPr>
          <w:rFonts w:cs="Times New Roman"/>
          <w:sz w:val="22"/>
          <w:szCs w:val="22"/>
        </w:rPr>
        <w:t>Kryteria wejściowe: jednostka organizacyjna, status wypożyczenia, typ wypożyczenia, data wypożyczenia od-do; Raport powinien zawierać kolumny: ID zlecenia, identyfikator wypożyczającego, datę wypożyczenia, dane pacjenta, numer przypadku, zakres wypożyczenia, identyfikator wydającego, datę zwrotu, status oraz typ wypożyczenia;</w:t>
      </w:r>
    </w:p>
    <w:p w14:paraId="0F9BAC68" w14:textId="68AE0DCD" w:rsidR="003F0831" w:rsidRPr="005F0AA8" w:rsidRDefault="003F0831" w:rsidP="003A1C72">
      <w:pPr>
        <w:pStyle w:val="Akapitzlist"/>
        <w:numPr>
          <w:ilvl w:val="1"/>
          <w:numId w:val="13"/>
        </w:numPr>
        <w:ind w:left="567"/>
        <w:jc w:val="both"/>
        <w:rPr>
          <w:rFonts w:cs="Times New Roman"/>
          <w:sz w:val="22"/>
          <w:szCs w:val="22"/>
        </w:rPr>
      </w:pPr>
      <w:r w:rsidRPr="005F0AA8">
        <w:rPr>
          <w:rFonts w:cs="Times New Roman"/>
          <w:sz w:val="22"/>
          <w:szCs w:val="22"/>
        </w:rPr>
        <w:t xml:space="preserve">Raport księgi </w:t>
      </w:r>
      <w:proofErr w:type="spellStart"/>
      <w:r w:rsidRPr="005F0AA8">
        <w:rPr>
          <w:rFonts w:cs="Times New Roman"/>
          <w:sz w:val="22"/>
          <w:szCs w:val="22"/>
        </w:rPr>
        <w:t>wypożycze</w:t>
      </w:r>
      <w:r w:rsidR="004C7B51" w:rsidRPr="005F0AA8">
        <w:rPr>
          <w:rFonts w:cs="Times New Roman"/>
          <w:sz w:val="22"/>
          <w:szCs w:val="22"/>
        </w:rPr>
        <w:t>ń</w:t>
      </w:r>
      <w:proofErr w:type="spellEnd"/>
      <w:r w:rsidRPr="005F0AA8">
        <w:rPr>
          <w:rFonts w:cs="Times New Roman"/>
          <w:sz w:val="22"/>
          <w:szCs w:val="22"/>
        </w:rPr>
        <w:t xml:space="preserve"> zewnętrznych</w:t>
      </w:r>
    </w:p>
    <w:p w14:paraId="3DF22F8A" w14:textId="65FD6183" w:rsidR="003F0831" w:rsidRPr="005F0AA8" w:rsidRDefault="003F0831" w:rsidP="003F0831">
      <w:pPr>
        <w:pStyle w:val="Akapitzlist"/>
        <w:ind w:left="567"/>
        <w:jc w:val="both"/>
        <w:rPr>
          <w:rFonts w:cs="Times New Roman"/>
          <w:sz w:val="22"/>
          <w:szCs w:val="22"/>
        </w:rPr>
      </w:pPr>
      <w:r w:rsidRPr="005F0AA8">
        <w:rPr>
          <w:rFonts w:cs="Times New Roman"/>
          <w:sz w:val="22"/>
          <w:szCs w:val="22"/>
        </w:rPr>
        <w:t>Kryteria wejściowe: jednostka organizacyjna, status wypożyczenia, typ wypożyczenia, data wypożyczenia od-do; Raport powinien zawierać kolumny: ID zlecenia, datę wypożyczenia, dane pacjenta, numer przypadku, zakres wypożyczenia, identyfikator wydającego, datę zwrotu, status oraz typ wypożyczenia, wynik konsultacji, identyfikator lekarza odpowiedzialnego, zgodność;</w:t>
      </w:r>
    </w:p>
    <w:p w14:paraId="099B4F97" w14:textId="27B35A72" w:rsidR="003F0831" w:rsidRPr="005F0AA8" w:rsidRDefault="003F0831" w:rsidP="003A1C72">
      <w:pPr>
        <w:pStyle w:val="Akapitzlist"/>
        <w:numPr>
          <w:ilvl w:val="1"/>
          <w:numId w:val="13"/>
        </w:numPr>
        <w:ind w:left="567"/>
        <w:jc w:val="both"/>
        <w:rPr>
          <w:rFonts w:cs="Times New Roman"/>
          <w:sz w:val="22"/>
          <w:szCs w:val="22"/>
        </w:rPr>
      </w:pPr>
      <w:r w:rsidRPr="005F0AA8">
        <w:rPr>
          <w:rFonts w:cs="Times New Roman"/>
          <w:sz w:val="22"/>
          <w:szCs w:val="22"/>
        </w:rPr>
        <w:t xml:space="preserve">Raport zleceń </w:t>
      </w:r>
      <w:proofErr w:type="spellStart"/>
      <w:r w:rsidRPr="005F0AA8">
        <w:rPr>
          <w:rFonts w:cs="Times New Roman"/>
          <w:sz w:val="22"/>
          <w:szCs w:val="22"/>
        </w:rPr>
        <w:t>barwień</w:t>
      </w:r>
      <w:proofErr w:type="spellEnd"/>
      <w:r w:rsidRPr="005F0AA8">
        <w:rPr>
          <w:rFonts w:cs="Times New Roman"/>
          <w:sz w:val="22"/>
          <w:szCs w:val="22"/>
        </w:rPr>
        <w:t xml:space="preserve"> dodatkowych</w:t>
      </w:r>
    </w:p>
    <w:p w14:paraId="20D6B63F" w14:textId="40E782DA" w:rsidR="003F0831" w:rsidRPr="005F0AA8" w:rsidRDefault="003F0831" w:rsidP="003F0831">
      <w:pPr>
        <w:pStyle w:val="Akapitzlist"/>
        <w:ind w:left="567"/>
        <w:jc w:val="both"/>
        <w:rPr>
          <w:rFonts w:cs="Times New Roman"/>
          <w:sz w:val="22"/>
          <w:szCs w:val="22"/>
        </w:rPr>
      </w:pPr>
      <w:r w:rsidRPr="005F0AA8">
        <w:rPr>
          <w:rFonts w:cs="Times New Roman"/>
          <w:sz w:val="22"/>
          <w:szCs w:val="22"/>
        </w:rPr>
        <w:t>Kryteria wejściowe: data wykonania od-do, jednostka organizacyjna zlecająca, jednostka organizacyjna krojąca, jednostka organizacyjna barwiąca; Raport powinien zawierać kolumny: jednostka organizacyjna zlecająca, jednostka organizacyjna krojąca, jednostka organizacyjna barwiąca, liczba zleceń, liczba preparatów, czas wykonania z podziałem na minimalny, średni i maksymalny.</w:t>
      </w:r>
    </w:p>
    <w:p w14:paraId="47034087" w14:textId="66FD02DB" w:rsidR="003F0831" w:rsidRPr="005F0AA8" w:rsidRDefault="003F0831" w:rsidP="003A1C72">
      <w:pPr>
        <w:pStyle w:val="Akapitzlist"/>
        <w:numPr>
          <w:ilvl w:val="1"/>
          <w:numId w:val="13"/>
        </w:numPr>
        <w:ind w:left="567"/>
        <w:jc w:val="both"/>
        <w:rPr>
          <w:rFonts w:cs="Times New Roman"/>
          <w:sz w:val="22"/>
          <w:szCs w:val="22"/>
        </w:rPr>
      </w:pPr>
      <w:r w:rsidRPr="005F0AA8">
        <w:rPr>
          <w:rFonts w:cs="Times New Roman"/>
          <w:sz w:val="22"/>
          <w:szCs w:val="22"/>
        </w:rPr>
        <w:t xml:space="preserve">Raport zleceń </w:t>
      </w:r>
      <w:proofErr w:type="spellStart"/>
      <w:r w:rsidRPr="005F0AA8">
        <w:rPr>
          <w:rFonts w:cs="Times New Roman"/>
          <w:sz w:val="22"/>
          <w:szCs w:val="22"/>
        </w:rPr>
        <w:t>barwień</w:t>
      </w:r>
      <w:proofErr w:type="spellEnd"/>
      <w:r w:rsidRPr="005F0AA8">
        <w:rPr>
          <w:rFonts w:cs="Times New Roman"/>
          <w:sz w:val="22"/>
          <w:szCs w:val="22"/>
        </w:rPr>
        <w:t xml:space="preserve"> dodatkowych wg osoby zlecającej</w:t>
      </w:r>
    </w:p>
    <w:p w14:paraId="4005F3F7" w14:textId="3DDE862B" w:rsidR="003F0831" w:rsidRPr="005F0AA8" w:rsidRDefault="003F0831" w:rsidP="003F0831">
      <w:pPr>
        <w:pStyle w:val="Akapitzlist"/>
        <w:ind w:left="567"/>
        <w:jc w:val="both"/>
        <w:rPr>
          <w:rFonts w:cs="Times New Roman"/>
          <w:sz w:val="22"/>
          <w:szCs w:val="22"/>
        </w:rPr>
      </w:pPr>
      <w:r w:rsidRPr="005F0AA8">
        <w:rPr>
          <w:rFonts w:cs="Times New Roman"/>
          <w:sz w:val="22"/>
          <w:szCs w:val="22"/>
        </w:rPr>
        <w:t>Kryteria wejściowe: osoba zlecająca, data wykonania od-do, jednostka organizacyjna zlecająca, jednostka organizacyjna krojąca, jednostka organizacyjna barwiąca; Raport powinien zawierać kolumny: osoba zlecająca, jednostka organizacyjna zlecająca, jednostka organizacyjna krojąca, jednostka organizacyjna barwiąca, liczba zleceń, liczba preparatów, czas wykonania z podziałem na minimalny, średni i maksymalny.</w:t>
      </w:r>
    </w:p>
    <w:p w14:paraId="253E31A9" w14:textId="61AC3727" w:rsidR="003F0831" w:rsidRPr="005F0AA8" w:rsidRDefault="003F0831" w:rsidP="003A1C72">
      <w:pPr>
        <w:pStyle w:val="Akapitzlist"/>
        <w:numPr>
          <w:ilvl w:val="1"/>
          <w:numId w:val="13"/>
        </w:numPr>
        <w:ind w:left="567"/>
        <w:jc w:val="both"/>
        <w:rPr>
          <w:rFonts w:cs="Times New Roman"/>
          <w:sz w:val="22"/>
          <w:szCs w:val="22"/>
        </w:rPr>
      </w:pPr>
      <w:r w:rsidRPr="005F0AA8">
        <w:rPr>
          <w:rFonts w:cs="Times New Roman"/>
          <w:sz w:val="22"/>
          <w:szCs w:val="22"/>
        </w:rPr>
        <w:t>Raport utylizacji materiałów.</w:t>
      </w:r>
    </w:p>
    <w:p w14:paraId="185D51A3" w14:textId="37AC0A7A" w:rsidR="003F0831" w:rsidRPr="005F0AA8" w:rsidRDefault="003F0831" w:rsidP="003F0831">
      <w:pPr>
        <w:pStyle w:val="Akapitzlist"/>
        <w:ind w:left="567"/>
        <w:jc w:val="both"/>
        <w:rPr>
          <w:rFonts w:cs="Times New Roman"/>
          <w:sz w:val="22"/>
          <w:szCs w:val="22"/>
        </w:rPr>
      </w:pPr>
      <w:r w:rsidRPr="005F0AA8">
        <w:rPr>
          <w:rFonts w:cs="Times New Roman"/>
          <w:sz w:val="22"/>
          <w:szCs w:val="22"/>
        </w:rPr>
        <w:t>Kryteria wejściowe: data utylizacji od</w:t>
      </w:r>
      <w:r w:rsidR="006F1FCD" w:rsidRPr="005F0AA8">
        <w:rPr>
          <w:rFonts w:cs="Times New Roman"/>
          <w:sz w:val="22"/>
          <w:szCs w:val="22"/>
        </w:rPr>
        <w:t>-</w:t>
      </w:r>
      <w:r w:rsidRPr="005F0AA8">
        <w:rPr>
          <w:rFonts w:cs="Times New Roman"/>
          <w:sz w:val="22"/>
          <w:szCs w:val="22"/>
        </w:rPr>
        <w:t>do, data zatwierdzenia od</w:t>
      </w:r>
      <w:r w:rsidR="006F1FCD" w:rsidRPr="005F0AA8">
        <w:rPr>
          <w:rFonts w:cs="Times New Roman"/>
          <w:sz w:val="22"/>
          <w:szCs w:val="22"/>
        </w:rPr>
        <w:t>-</w:t>
      </w:r>
      <w:r w:rsidRPr="005F0AA8">
        <w:rPr>
          <w:rFonts w:cs="Times New Roman"/>
          <w:sz w:val="22"/>
          <w:szCs w:val="22"/>
        </w:rPr>
        <w:t>do, stan utylizacji, jednostka organizacyjna wykonująca. Możliwość sortowania wg daty rejestracji, utylizacji lub zatwierdzenia. Raport powinien zawierać kolumny: numer materiału, typ materiału, opis materiału, profil utylizacji, data zatwierdzenia wyniku, data utylizacji, ilość dni od zatwierdzenia do utylizacji.</w:t>
      </w:r>
    </w:p>
    <w:p w14:paraId="4474AF1B" w14:textId="34F1015C" w:rsidR="003F0831" w:rsidRPr="005F0AA8" w:rsidRDefault="003F0831" w:rsidP="003A1C72">
      <w:pPr>
        <w:pStyle w:val="Akapitzlist"/>
        <w:numPr>
          <w:ilvl w:val="1"/>
          <w:numId w:val="13"/>
        </w:numPr>
        <w:ind w:left="567"/>
        <w:jc w:val="both"/>
        <w:rPr>
          <w:rFonts w:cs="Times New Roman"/>
          <w:sz w:val="22"/>
          <w:szCs w:val="22"/>
        </w:rPr>
      </w:pPr>
      <w:r w:rsidRPr="005F0AA8">
        <w:rPr>
          <w:rFonts w:cs="Times New Roman"/>
          <w:sz w:val="22"/>
          <w:szCs w:val="22"/>
        </w:rPr>
        <w:t xml:space="preserve">Raport ponownych skrojeni i </w:t>
      </w:r>
      <w:proofErr w:type="spellStart"/>
      <w:r w:rsidRPr="005F0AA8">
        <w:rPr>
          <w:rFonts w:cs="Times New Roman"/>
          <w:sz w:val="22"/>
          <w:szCs w:val="22"/>
        </w:rPr>
        <w:t>barwień</w:t>
      </w:r>
      <w:proofErr w:type="spellEnd"/>
      <w:r w:rsidRPr="005F0AA8">
        <w:rPr>
          <w:rFonts w:cs="Times New Roman"/>
          <w:sz w:val="22"/>
          <w:szCs w:val="22"/>
        </w:rPr>
        <w:t>.</w:t>
      </w:r>
    </w:p>
    <w:p w14:paraId="27290DCA" w14:textId="405D932D" w:rsidR="003F0831" w:rsidRPr="005F0AA8" w:rsidRDefault="003F0831" w:rsidP="003F0831">
      <w:pPr>
        <w:pStyle w:val="Akapitzlist"/>
        <w:ind w:left="567"/>
        <w:jc w:val="both"/>
        <w:rPr>
          <w:rFonts w:cs="Times New Roman"/>
          <w:sz w:val="22"/>
          <w:szCs w:val="22"/>
        </w:rPr>
      </w:pPr>
      <w:r w:rsidRPr="005F0AA8">
        <w:rPr>
          <w:rFonts w:cs="Times New Roman"/>
          <w:sz w:val="22"/>
          <w:szCs w:val="22"/>
        </w:rPr>
        <w:t>Kryteria wejściowe: jednostka organizacyjna, data ponownego krojenia od</w:t>
      </w:r>
      <w:r w:rsidR="006F1FCD" w:rsidRPr="005F0AA8">
        <w:rPr>
          <w:rFonts w:cs="Times New Roman"/>
          <w:sz w:val="22"/>
          <w:szCs w:val="22"/>
        </w:rPr>
        <w:t>-</w:t>
      </w:r>
      <w:r w:rsidRPr="005F0AA8">
        <w:rPr>
          <w:rFonts w:cs="Times New Roman"/>
          <w:sz w:val="22"/>
          <w:szCs w:val="22"/>
        </w:rPr>
        <w:t>do. Raport powinien zawierać kolumny: numer bloczka, numer pierwotnego oraz ponowionego preparatu, typ barwienia, data pierwotnego krojenia, technik krojący pierwotny preparat, technik barwiący pierwotny preparat, czy wystąpiła kontrola jakości, data ponownego krojenia, technik krojący ponowiony preparat.</w:t>
      </w:r>
    </w:p>
    <w:p w14:paraId="6AA43162" w14:textId="1CCDFBB6"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usuniętych pakietów badań.</w:t>
      </w:r>
    </w:p>
    <w:p w14:paraId="1B10EC17" w14:textId="3792A76B"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data rejestracji od</w:t>
      </w:r>
      <w:r w:rsidR="00AA68F0" w:rsidRPr="005F0AA8">
        <w:rPr>
          <w:rFonts w:cs="Times New Roman"/>
          <w:sz w:val="22"/>
          <w:szCs w:val="22"/>
        </w:rPr>
        <w:t>-</w:t>
      </w:r>
      <w:r w:rsidRPr="005F0AA8">
        <w:rPr>
          <w:rFonts w:cs="Times New Roman"/>
          <w:sz w:val="22"/>
          <w:szCs w:val="22"/>
        </w:rPr>
        <w:t>do, jednostka organizacyjna. Raport powinien zawierać kolumny: numer księgi pracowni, data rejestracji, identyfikator rejestrującego, data usunięcia, identyfikator usuwającego, zlecający, dane pacjenta.</w:t>
      </w:r>
    </w:p>
    <w:p w14:paraId="6840326D" w14:textId="58A4639F" w:rsidR="003F0831" w:rsidRPr="005F0AA8" w:rsidRDefault="003F0831" w:rsidP="003A1C72">
      <w:pPr>
        <w:pStyle w:val="Akapitzlist"/>
        <w:numPr>
          <w:ilvl w:val="1"/>
          <w:numId w:val="13"/>
        </w:numPr>
        <w:ind w:left="567"/>
        <w:jc w:val="both"/>
        <w:rPr>
          <w:rFonts w:cs="Times New Roman"/>
          <w:sz w:val="22"/>
          <w:szCs w:val="22"/>
        </w:rPr>
      </w:pPr>
      <w:r w:rsidRPr="005F0AA8">
        <w:rPr>
          <w:rFonts w:cs="Times New Roman"/>
          <w:sz w:val="22"/>
          <w:szCs w:val="22"/>
        </w:rPr>
        <w:t>Raport anulowanych zleceń.</w:t>
      </w:r>
    </w:p>
    <w:p w14:paraId="3C81374A" w14:textId="3C636AA8" w:rsidR="003F0831" w:rsidRPr="005F0AA8" w:rsidRDefault="003F0831" w:rsidP="003F0831">
      <w:pPr>
        <w:pStyle w:val="Akapitzlist"/>
        <w:ind w:left="567"/>
        <w:jc w:val="both"/>
        <w:rPr>
          <w:rFonts w:cs="Times New Roman"/>
          <w:sz w:val="22"/>
          <w:szCs w:val="22"/>
        </w:rPr>
      </w:pPr>
      <w:r w:rsidRPr="005F0AA8">
        <w:rPr>
          <w:rFonts w:cs="Times New Roman"/>
          <w:sz w:val="22"/>
          <w:szCs w:val="22"/>
        </w:rPr>
        <w:lastRenderedPageBreak/>
        <w:t>Kryteria wejściowe: data zlecenia od</w:t>
      </w:r>
      <w:r w:rsidR="00AA68F0" w:rsidRPr="005F0AA8">
        <w:rPr>
          <w:rFonts w:cs="Times New Roman"/>
          <w:sz w:val="22"/>
          <w:szCs w:val="22"/>
        </w:rPr>
        <w:t>-</w:t>
      </w:r>
      <w:r w:rsidRPr="005F0AA8">
        <w:rPr>
          <w:rFonts w:cs="Times New Roman"/>
          <w:sz w:val="22"/>
          <w:szCs w:val="22"/>
        </w:rPr>
        <w:t>do, jednostka organizacyjna, przyczyna anulowania zlecenia. Raport powinien zawierać kolumny: data zlecenia, zlecający, numer obcy zlecenia, imię i nazwisko pacjenta, PESEL pacjenta, przyczyna anulowania zlecenia.</w:t>
      </w:r>
    </w:p>
    <w:p w14:paraId="27A5FEB5" w14:textId="566E8063"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listy diagnozujących, którzy wystąpili w okresie rozliczeniowym.</w:t>
      </w:r>
      <w:r w:rsidR="00223572" w:rsidRPr="005F0AA8">
        <w:rPr>
          <w:rFonts w:cs="Times New Roman"/>
          <w:sz w:val="22"/>
          <w:szCs w:val="22"/>
        </w:rPr>
        <w:br/>
      </w:r>
      <w:r w:rsidRPr="005F0AA8">
        <w:rPr>
          <w:rFonts w:cs="Times New Roman"/>
          <w:sz w:val="22"/>
          <w:szCs w:val="22"/>
        </w:rPr>
        <w:t>Kryteria wejściowe: data wykonania od-do, jednostka organizacyjna. Raport powinien zawierać kolumny: diagnozujący, skrót do raportu szczegółowego.</w:t>
      </w:r>
    </w:p>
    <w:p w14:paraId="599D1EB3"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ilości badań dla diagnozujących.</w:t>
      </w:r>
      <w:r w:rsidR="00223572" w:rsidRPr="005F0AA8">
        <w:rPr>
          <w:rFonts w:cs="Times New Roman"/>
          <w:sz w:val="22"/>
          <w:szCs w:val="22"/>
        </w:rPr>
        <w:t xml:space="preserve"> </w:t>
      </w:r>
    </w:p>
    <w:p w14:paraId="16AA8534" w14:textId="16230C57"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diagnozujący, zlecający, data wykonania od-do, jednostka organizacyjna. Raport powinien zawierać kolumny: typ badania, liczba przypadków, liczba badań, liczba preparatów, cena netto, wartość netto, stawka VAT, wartość brutto. Wartości powinny być podsumowane.</w:t>
      </w:r>
    </w:p>
    <w:p w14:paraId="042D753C"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ilości badań i listy pacjentów dla diagnozujących.</w:t>
      </w:r>
    </w:p>
    <w:p w14:paraId="6B7BAAF8" w14:textId="5ABC4845"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diagnozujący, zlecający, data wykonania od-do, jednostka organizacyjna. Raport powinien zawierać kolumny (pierwsza tabela - grupowanie typami badań i procedur): typ badania/procedury/preparatu, liczba przypadków, liczba badań, cena netto, wartość netto, stawka VAT, wartość brutto. Wartości powinny być podsumowane. Raport powinien zawierać kolumny (druga tabela - grupowanie pacjentami): numer księgi pracowni, dane pacjenta, zlecający, typ badania/procedury/preparatu, liczba badań, cena netto, wartość netto, stawka VAT, wartość brutto. Wartości powinny być podsumowane.</w:t>
      </w:r>
    </w:p>
    <w:p w14:paraId="025ACF3A" w14:textId="067ECEEF"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czasu wykonania badań (terminowości) dla wybranej grupy badań</w:t>
      </w:r>
      <w:r w:rsidR="009D7F90" w:rsidRPr="005F0AA8">
        <w:rPr>
          <w:rFonts w:cs="Times New Roman"/>
          <w:sz w:val="22"/>
          <w:szCs w:val="22"/>
        </w:rPr>
        <w:t xml:space="preserve"> </w:t>
      </w:r>
      <w:r w:rsidRPr="005F0AA8">
        <w:rPr>
          <w:rFonts w:cs="Times New Roman"/>
          <w:sz w:val="22"/>
          <w:szCs w:val="22"/>
        </w:rPr>
        <w:t>wyfiltrowanej wg możliwych parametrów (minimum rodzaj materiału, lokalizacja, lekarz kierujący, jednostka kierująca, lekarz diagnozujący. Raport powinien zawierać kolumny: data rejestracji, data wyniku (zatwierdzenia przypadku), numer zlecenia, id pacjenta, czas diagnostyki w dniach roboczych, status nowotworu złośliwego (tak/nie). Raport powinien zawierać w podsumowaniu czas diagnostyki: średni, minimalny, maksymalny oraz medianę.</w:t>
      </w:r>
    </w:p>
    <w:p w14:paraId="0A774C74" w14:textId="77777777" w:rsidR="006F37C1"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dla diagnozującego – lista zlecających, którym diagnozował.</w:t>
      </w:r>
    </w:p>
    <w:p w14:paraId="75AA92D7" w14:textId="7EDD4A46"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diagnozujący, data wykonania od-do, jednostka organizacyjna.  Raport powinien zawierać kolumny: zlecającego, skrót do raportu szczegółowego.</w:t>
      </w:r>
    </w:p>
    <w:p w14:paraId="28E312CD"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 xml:space="preserve">Raport dla diagnozującego – przypadki niezakończone </w:t>
      </w:r>
    </w:p>
    <w:p w14:paraId="6C1D0A04" w14:textId="282B86E7"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jednostka organizacyjna. Raport powinien zawierać kolumny: odpowiedzialny za przypadki, sumaryczna liczba niezakończonych przypadków, liczba przypadków oznaczonych do weryfikacji, liczba przypadków w statusie wyniku wstępnego, liczba przypadków oczekujących na podpis elektroniczny.</w:t>
      </w:r>
    </w:p>
    <w:p w14:paraId="77C25149"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czasu wykonania badań z podziałem na diagnozujących.</w:t>
      </w:r>
    </w:p>
    <w:p w14:paraId="3D37CAFD" w14:textId="4E5D98F8" w:rsidR="009E4757" w:rsidRPr="005F0AA8" w:rsidRDefault="009E4757" w:rsidP="003A1C72">
      <w:pPr>
        <w:pStyle w:val="Akapitzlist"/>
        <w:ind w:left="567"/>
        <w:jc w:val="both"/>
        <w:rPr>
          <w:rFonts w:cs="Times New Roman"/>
          <w:sz w:val="22"/>
          <w:szCs w:val="22"/>
        </w:rPr>
      </w:pPr>
      <w:r w:rsidRPr="005F0AA8">
        <w:rPr>
          <w:rFonts w:cs="Times New Roman"/>
          <w:sz w:val="22"/>
          <w:szCs w:val="22"/>
        </w:rPr>
        <w:t xml:space="preserve">Kryteria wejściowe: jednostka organizacyjna, data rejestracji przypadku. Raport powinien zawierać kolumny (pierwsza tabela): odpowiedzialny za przypadki, liczba wpisanych </w:t>
      </w:r>
      <w:proofErr w:type="spellStart"/>
      <w:r w:rsidRPr="005F0AA8">
        <w:rPr>
          <w:rFonts w:cs="Times New Roman"/>
          <w:sz w:val="22"/>
          <w:szCs w:val="22"/>
        </w:rPr>
        <w:t>rozpoznań</w:t>
      </w:r>
      <w:proofErr w:type="spellEnd"/>
      <w:r w:rsidRPr="005F0AA8">
        <w:rPr>
          <w:rFonts w:cs="Times New Roman"/>
          <w:sz w:val="22"/>
          <w:szCs w:val="22"/>
        </w:rPr>
        <w:t xml:space="preserve">, czasy (minimalny, średni, maksymalny) od rejestracji do wpisania rozpoznania, liczba przypadków bez rozpoznania. Raport powinien zawierać kolumny (druga tabela): odpowiedzialny za przypadki, liczba wpisanych </w:t>
      </w:r>
      <w:proofErr w:type="spellStart"/>
      <w:r w:rsidRPr="005F0AA8">
        <w:rPr>
          <w:rFonts w:cs="Times New Roman"/>
          <w:sz w:val="22"/>
          <w:szCs w:val="22"/>
        </w:rPr>
        <w:t>rozpoznań</w:t>
      </w:r>
      <w:proofErr w:type="spellEnd"/>
      <w:r w:rsidRPr="005F0AA8">
        <w:rPr>
          <w:rFonts w:cs="Times New Roman"/>
          <w:sz w:val="22"/>
          <w:szCs w:val="22"/>
        </w:rPr>
        <w:t>, czasy (minimalny, średni, maksymalny) od przekazania do diagnostyki do zatwierdzenia przypadku.</w:t>
      </w:r>
    </w:p>
    <w:p w14:paraId="3BF04CE4"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listy lek. wykrawających, którzy wystąpili w okresie rozliczeniowym.</w:t>
      </w:r>
    </w:p>
    <w:p w14:paraId="7AF23A23" w14:textId="1CF346D0"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data wykonania od-do, jednostka organizacyjna. Raport powinien zawierać kolumny: wykrawający, skrót do raportu szczegółowego.</w:t>
      </w:r>
    </w:p>
    <w:p w14:paraId="7C68B8C4"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 xml:space="preserve">Raport liczby badań dla lek. wykrawających. </w:t>
      </w:r>
    </w:p>
    <w:p w14:paraId="47540C92" w14:textId="2531A3E1"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wykrawający, zlecający, data wykonania od-do, jednostka organizacyjna. Raport powinien zawierać kolumny: typ badania, liczba przypadków, liczba badań, cena netto, wartość netto, stawka VAT, wartość brutto. Wartości brutto powinny być podsumowane.</w:t>
      </w:r>
    </w:p>
    <w:p w14:paraId="3F13719F" w14:textId="1E9801B5"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 xml:space="preserve">Raport liczby badań i listy pacjentów dla lek. </w:t>
      </w:r>
      <w:r w:rsidR="00090EC0" w:rsidRPr="005F0AA8">
        <w:rPr>
          <w:rFonts w:cs="Times New Roman"/>
          <w:sz w:val="22"/>
          <w:szCs w:val="22"/>
        </w:rPr>
        <w:t>w</w:t>
      </w:r>
      <w:r w:rsidRPr="005F0AA8">
        <w:rPr>
          <w:rFonts w:cs="Times New Roman"/>
          <w:sz w:val="22"/>
          <w:szCs w:val="22"/>
        </w:rPr>
        <w:t>ykrawających</w:t>
      </w:r>
    </w:p>
    <w:p w14:paraId="21751993" w14:textId="38DADB14" w:rsidR="009E4757" w:rsidRPr="005F0AA8" w:rsidRDefault="009E4757" w:rsidP="003A1C72">
      <w:pPr>
        <w:pStyle w:val="Akapitzlist"/>
        <w:ind w:left="567"/>
        <w:jc w:val="both"/>
        <w:rPr>
          <w:rFonts w:cs="Times New Roman"/>
          <w:sz w:val="22"/>
          <w:szCs w:val="22"/>
        </w:rPr>
      </w:pPr>
      <w:r w:rsidRPr="005F0AA8">
        <w:rPr>
          <w:rFonts w:cs="Times New Roman"/>
          <w:sz w:val="22"/>
          <w:szCs w:val="22"/>
        </w:rPr>
        <w:lastRenderedPageBreak/>
        <w:t>Kryteria wejściowe: wykrawający, zlecający, data wykonania od-do, jednostka organizacyjna. Raport powinien zawierać kolumny (pierwsza tabela - grupowanie typami badań i procedur): typ badania, liczba przypadków, liczba badań, cena netto, wartość netto, stawka VAT, wartość brutto. Wartości powinny być podsumowane. Raport powinien zawierać kolumny (druga tabela - grupowanie pacjentami): numer księgi pracowni, dane pacjenta, zlecający, typ badania, liczba badań, cena netto, wartość netto, stawka VAT, wartość brutto. Wartości powinny być podsumowane.</w:t>
      </w:r>
    </w:p>
    <w:p w14:paraId="00A7DB91" w14:textId="552F1087"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listy techników wykrawających, którzy wystąpili w okresie rozliczeniowym.</w:t>
      </w:r>
      <w:r w:rsidR="00223572" w:rsidRPr="005F0AA8">
        <w:rPr>
          <w:rFonts w:cs="Times New Roman"/>
          <w:sz w:val="22"/>
          <w:szCs w:val="22"/>
        </w:rPr>
        <w:br/>
      </w:r>
      <w:r w:rsidRPr="005F0AA8">
        <w:rPr>
          <w:rFonts w:cs="Times New Roman"/>
          <w:sz w:val="22"/>
          <w:szCs w:val="22"/>
        </w:rPr>
        <w:t>Kryteria wejściowe: data wykonania od-do, jednostka organizacyjna. Raport powinien zawierać kolumny: technik wykrawający, skrót do raportu szczegółowego.</w:t>
      </w:r>
    </w:p>
    <w:p w14:paraId="32733FA1"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liczby badań dla techników wykrawających.</w:t>
      </w:r>
    </w:p>
    <w:p w14:paraId="66ADA67F" w14:textId="275CE96A"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technik wykrawający, zlecający, data wykonania od-do, jednostka organizacyjna. Raport powinien zawierać kolumny: typ badania, liczba przypadków, liczba badań, cena netto, wartość netto, stawka VAT, wartość brutto. Wartości brutto powinny być podsumowane.</w:t>
      </w:r>
    </w:p>
    <w:p w14:paraId="5EF5A06C"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ilości badań i listy pacjentów dla techników wykrawających.</w:t>
      </w:r>
    </w:p>
    <w:p w14:paraId="609BD2C1" w14:textId="25E8619E"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technik wykrawający, zlecający, data wykonania od-do, jednostka organizacyjna. Raport powinien zawierać kolumny (pierwsza tabela - grupowanie typami badań i procedur): typ badania, liczba przypadków, liczba badań, cena netto, wartość netto, stawka VAT, wartość brutto. Wartości powinny być podsumowane. Raport powinien zawierać kolumny (druga tabela - grupowanie pacjentami): numer księgi pracowni, dane pacjenta, zlecający, typ badania, liczba badań, cena netto, wartość netto, stawka VAT, wartość brutto. Wartości powinny być podsumowane.</w:t>
      </w:r>
    </w:p>
    <w:p w14:paraId="32C42C46"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listy techników zatapiających, którzy wystąpili w okresie rozliczeniowym.</w:t>
      </w:r>
    </w:p>
    <w:p w14:paraId="3FDB2B5B" w14:textId="55FBAA61"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data wykonania od-do, jednostka organizacyjna. Raport powinien zawierać kolumny: technik zatapiający, skrót do raportu szczegółowego.</w:t>
      </w:r>
    </w:p>
    <w:p w14:paraId="18A7C10A"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liczby badań dla techników zatapiających.</w:t>
      </w:r>
    </w:p>
    <w:p w14:paraId="67694AFA" w14:textId="0074B747"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technik zatapiający, zlecający, data wykonania od-do, jednostka organizacyjna. Raport powinien zawierać kolumny: typ badania, liczba przypadków, liczba badań, cena netto, wartość netto, stawka VAT, wartość brutto. Wartości brutto powinny być podsumowane.</w:t>
      </w:r>
    </w:p>
    <w:p w14:paraId="41D8F9DA"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liczby badań i listy pacjentów dla techników zatapiających.</w:t>
      </w:r>
    </w:p>
    <w:p w14:paraId="1AD909B2" w14:textId="2B9658CA"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technik zatapiający, zlecający, data wykonania od-do, jednostka organizacyjna. Raport powinien zawierać kolumny (pierwsza tabela - grupowanie typami badań i procedur): typ badania, liczba przypadków, liczba badań, cena netto, wartość netto, stawka VAT, wartość brutto. Wartości powinny być podsumowane. Raport powinien zawierać kolumny (druga tabela - grupowanie pacjentami): numer księgi pracowni, dane pacjenta, zlecający, typ badania, liczba badań, cena netto, wartość netto, stawka VAT, wartość brutto. Wartości powinny być podsumowane.</w:t>
      </w:r>
    </w:p>
    <w:p w14:paraId="5759CB80" w14:textId="20494772"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listy techników krojących, którzy wystąpili w okresie rozliczeniowym.</w:t>
      </w:r>
      <w:r w:rsidR="00223572" w:rsidRPr="005F0AA8">
        <w:rPr>
          <w:rFonts w:cs="Times New Roman"/>
          <w:sz w:val="22"/>
          <w:szCs w:val="22"/>
        </w:rPr>
        <w:br/>
      </w:r>
      <w:r w:rsidRPr="005F0AA8">
        <w:rPr>
          <w:rFonts w:cs="Times New Roman"/>
          <w:sz w:val="22"/>
          <w:szCs w:val="22"/>
        </w:rPr>
        <w:t>Kryteria wejściowe: data wykonania od-do, jednostka organizacyjna. Raport powinien zawierać kolumny: technik krojący, skrót do raportu szczegółowego.</w:t>
      </w:r>
    </w:p>
    <w:p w14:paraId="032D0DCC"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liczby badań dla techników krojących.</w:t>
      </w:r>
    </w:p>
    <w:p w14:paraId="0CE47F6D" w14:textId="5113E460"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technik krojący, zlecający, data wykonania od-do, jednostka organizacyjna. Raport powinien zawierać kolumny: typ badania, liczba przypadków, liczba badań, cena netto, wartość netto, stawka VAT, wartość brutto. Wartości brutto powinny być podsumowane.</w:t>
      </w:r>
    </w:p>
    <w:p w14:paraId="7271E255"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liczby badań i listy pacjentów dla techników krojących.</w:t>
      </w:r>
    </w:p>
    <w:p w14:paraId="57CEB30B" w14:textId="55427AE7" w:rsidR="009E4757" w:rsidRPr="005F0AA8" w:rsidRDefault="009E4757" w:rsidP="003A1C72">
      <w:pPr>
        <w:pStyle w:val="Akapitzlist"/>
        <w:ind w:left="567"/>
        <w:jc w:val="both"/>
        <w:rPr>
          <w:rFonts w:cs="Times New Roman"/>
          <w:sz w:val="22"/>
          <w:szCs w:val="22"/>
        </w:rPr>
      </w:pPr>
      <w:r w:rsidRPr="005F0AA8">
        <w:rPr>
          <w:rFonts w:cs="Times New Roman"/>
          <w:sz w:val="22"/>
          <w:szCs w:val="22"/>
        </w:rPr>
        <w:lastRenderedPageBreak/>
        <w:t>Kryteria wejściowe: technik krojący, zlecający, data wykonania od-do, jednostka organizacyjna. Raport powinien zawierać kolumny: typ badania, liczba przypadków, liczba badań, cena netto, wartość netto, stawka VAT, wartość brutto. Wartości brutto powinny być podsumowane.</w:t>
      </w:r>
    </w:p>
    <w:p w14:paraId="33263E97" w14:textId="3302C302"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listy techników barwiących, którzy wystąpili w okresie rozliczeniowym.</w:t>
      </w:r>
      <w:r w:rsidR="00223572" w:rsidRPr="005F0AA8">
        <w:rPr>
          <w:rFonts w:cs="Times New Roman"/>
          <w:sz w:val="22"/>
          <w:szCs w:val="22"/>
        </w:rPr>
        <w:br/>
      </w:r>
      <w:r w:rsidRPr="005F0AA8">
        <w:rPr>
          <w:rFonts w:cs="Times New Roman"/>
          <w:sz w:val="22"/>
          <w:szCs w:val="22"/>
        </w:rPr>
        <w:t>Kryteria wejściowe: data wykonania od-do, jednostka organizacyjna. Raport powinien zawierać kolumny: technik barwiący, skrót do raportu szczegółowego</w:t>
      </w:r>
    </w:p>
    <w:p w14:paraId="36DDAA6D"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liczby badań dla techników barwiących.</w:t>
      </w:r>
    </w:p>
    <w:p w14:paraId="60A32D77" w14:textId="7EE51EDB"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technik barwiący, zlecający, data wykonania od-do, jednostka organizacyjna. Raport powinien zawierać kolumny: typ badania, liczba przypadków, liczba badań, cena netto, wartość netto, stawka VAT, wartość brutto. Wartości brutto powinny być podsumowane.</w:t>
      </w:r>
    </w:p>
    <w:p w14:paraId="7E3029F6"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liczby badań i listy pacjentów dla techników barwiących.</w:t>
      </w:r>
    </w:p>
    <w:p w14:paraId="71B9A75A" w14:textId="29174EA0"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technik barwiący, zlecający, data wykonania od-do, jednostka organizacyjna. Raport powinien zawierać kolumny (pierwsza tabela - grupowanie typami badań i procedur): typ badania, liczba przypadków, liczba badań, cena netto, wartość netto, stawka VAT, wartość brutto. Wartości powinny być podsumowane. Raport powinien zawierać kolumny (druga tabela - grupowanie pacjentami): numer księgi pracowni, dane pacjenta, zlecający, typ badania, liczba badań, cena netto, wartość netto, stawka VAT, wartość brutto. Wartości powinny być podsumowane.</w:t>
      </w:r>
    </w:p>
    <w:p w14:paraId="5DAAE671"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 xml:space="preserve">Raport </w:t>
      </w:r>
      <w:proofErr w:type="spellStart"/>
      <w:r w:rsidRPr="005F0AA8">
        <w:rPr>
          <w:rFonts w:cs="Times New Roman"/>
          <w:sz w:val="22"/>
          <w:szCs w:val="22"/>
        </w:rPr>
        <w:t>wykonań</w:t>
      </w:r>
      <w:proofErr w:type="spellEnd"/>
      <w:r w:rsidRPr="005F0AA8">
        <w:rPr>
          <w:rFonts w:cs="Times New Roman"/>
          <w:sz w:val="22"/>
          <w:szCs w:val="22"/>
        </w:rPr>
        <w:t xml:space="preserve"> całego Zakładu wg kosztów procedur</w:t>
      </w:r>
    </w:p>
    <w:p w14:paraId="52AD9DAF" w14:textId="5BFB95B3"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data wykonania od-do, jednostka organizacyjna. Raport powinien zawierać kod procedury (badania, barwienia), opis procedury, liczbę przypadków, w których pojawiła się procedura, liczbę wykonanych procedur, koszt procedury. Wartości powinny być podsumowane.</w:t>
      </w:r>
    </w:p>
    <w:p w14:paraId="7701C240"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liczby badań dla techników na poszczególnych etapach procesu diagnostycznego</w:t>
      </w:r>
    </w:p>
    <w:p w14:paraId="027EBBF9" w14:textId="561176A7"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data wykonania od-do, grupa pracowników. Raport powinien zawierać wykaz pracowników z liczbą wykonanych etapów, jednostkową wartość punktową, łączną liczbę uzyskanych punktów. Dane całościowe i cząstkowe (poszczególne etapy) powinny być prezentowane dodatkowo w postaci wykresów.</w:t>
      </w:r>
    </w:p>
    <w:p w14:paraId="52FDEF7C" w14:textId="3894EA09"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liczby badań wykonanych zbiorczo na poszczególnych etapach procesu diagnostycznego w trybie ciągłym w czasie trwania pracy z generowaniem wykresów lub zbiorczo w wybranym okresie.</w:t>
      </w:r>
    </w:p>
    <w:p w14:paraId="72D95272" w14:textId="61D0A71B"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liczby wykonanych badań w całej pracowni z podziałem na stawki rozliczeniowe ze zlecającymi.</w:t>
      </w:r>
    </w:p>
    <w:p w14:paraId="5103D573"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 xml:space="preserve">Raport statystyk wpisanych </w:t>
      </w:r>
      <w:proofErr w:type="spellStart"/>
      <w:r w:rsidRPr="005F0AA8">
        <w:rPr>
          <w:rFonts w:cs="Times New Roman"/>
          <w:sz w:val="22"/>
          <w:szCs w:val="22"/>
        </w:rPr>
        <w:t>rozpoznań</w:t>
      </w:r>
      <w:proofErr w:type="spellEnd"/>
      <w:r w:rsidRPr="005F0AA8">
        <w:rPr>
          <w:rFonts w:cs="Times New Roman"/>
          <w:sz w:val="22"/>
          <w:szCs w:val="22"/>
        </w:rPr>
        <w:t>.</w:t>
      </w:r>
    </w:p>
    <w:p w14:paraId="35A6C163" w14:textId="0EFE68B6" w:rsidR="009E4757" w:rsidRPr="005F0AA8" w:rsidRDefault="009E4757" w:rsidP="003A1C72">
      <w:pPr>
        <w:pStyle w:val="Akapitzlist"/>
        <w:ind w:left="567"/>
        <w:jc w:val="both"/>
        <w:rPr>
          <w:rFonts w:cs="Times New Roman"/>
          <w:sz w:val="22"/>
          <w:szCs w:val="22"/>
        </w:rPr>
      </w:pPr>
      <w:r w:rsidRPr="005F0AA8">
        <w:rPr>
          <w:rFonts w:cs="Times New Roman"/>
          <w:sz w:val="22"/>
          <w:szCs w:val="22"/>
        </w:rPr>
        <w:t xml:space="preserve">Kryteria wejściowe: data wykonania od-do, jednostka organizacyjna. Raport powinien zawierać kolumny: identyfikator wpisującego, liczbę wpisanych </w:t>
      </w:r>
      <w:proofErr w:type="spellStart"/>
      <w:r w:rsidRPr="005F0AA8">
        <w:rPr>
          <w:rFonts w:cs="Times New Roman"/>
          <w:sz w:val="22"/>
          <w:szCs w:val="22"/>
        </w:rPr>
        <w:t>rozpoznań</w:t>
      </w:r>
      <w:proofErr w:type="spellEnd"/>
      <w:r w:rsidRPr="005F0AA8">
        <w:rPr>
          <w:rFonts w:cs="Times New Roman"/>
          <w:sz w:val="22"/>
          <w:szCs w:val="22"/>
        </w:rPr>
        <w:t>, liczbę przypadków, liczbę znaków dodanych i usuniętych wraz z ich sumą, średnią długość rozpoznania</w:t>
      </w:r>
    </w:p>
    <w:p w14:paraId="2335A280"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statystyk wpisanych opisów makroskopowych.</w:t>
      </w:r>
    </w:p>
    <w:p w14:paraId="4D005C9A" w14:textId="1C3E75B0"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data wykonania od-do, jednostka organizacyjna. Raport powinien zawierać kolumny: identyfikator wpisującego, liczbę wpisanych opisów, liczbę przypadków, liczbę znaków dodanych i usuniętych wraz z ich sumą, średnią długość opisu.</w:t>
      </w:r>
    </w:p>
    <w:p w14:paraId="284FB491" w14:textId="2149FDF1"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listy zlecających, którzy wystąpili w okresie rozliczeniowym.</w:t>
      </w:r>
      <w:r w:rsidR="00223572" w:rsidRPr="005F0AA8">
        <w:rPr>
          <w:rFonts w:cs="Times New Roman"/>
          <w:sz w:val="22"/>
          <w:szCs w:val="22"/>
        </w:rPr>
        <w:br/>
      </w:r>
      <w:r w:rsidRPr="005F0AA8">
        <w:rPr>
          <w:rFonts w:cs="Times New Roman"/>
          <w:sz w:val="22"/>
          <w:szCs w:val="22"/>
        </w:rPr>
        <w:t>Kryteria wejściowe: data wykonania od-do, jednostka organizacyjna. Raport powinien zawierać kolumny: zlecający (oddział), skrót do raportu szczegółowego.</w:t>
      </w:r>
    </w:p>
    <w:p w14:paraId="505B7E74"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liczby badań dla zlecającego (z możliwością ograniczenia kryteriów do oddziału).</w:t>
      </w:r>
    </w:p>
    <w:p w14:paraId="5F57FD35" w14:textId="3F12D3FE"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zlecający, oddział, data wykonania od-do, jednostka organizacyjna. Raport powinien zawierać kolumny: kod procedury (badania, barwienia), opis procedury, liczbę przypadków, w których pojawiła się procedura, liczbę wykonanych procedur, cenę netto, wartość netto, stawkę VAT, wartość brutto, podsumowanie wartości wszystkich wykonanych procedur.</w:t>
      </w:r>
    </w:p>
    <w:p w14:paraId="1F3BF0B5"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lastRenderedPageBreak/>
        <w:t>Raport liczby badań i listy pacjentów dla zlecającego (z możliwością ograniczenia kryteriów do oddziału).</w:t>
      </w:r>
    </w:p>
    <w:p w14:paraId="1DB5A1D9" w14:textId="05977A50"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zlecający, data wykonania od-do, jednostka organizacyjna. Raport powinien zawierać kolumny (pierwsza tabela - grupowanie typami badań i procedur): kod procedury (badania, barwienia), opis procedury, liczbę przypadków, w których pojawiła się procedura, liczbę wykonanych procedur, cenę netto, wartość netto, stawkę VAT, wartość brutto. Wartości powinny być podsumowane. Raport powinien zawierać kolumny (druga tabela - grupowanie pacjentami): numer księgi pracowni, dane pacjenta, zlecający, typ procedury, liczba procedur. Wartości powinny być podsumowane.</w:t>
      </w:r>
    </w:p>
    <w:p w14:paraId="3E92E3BD" w14:textId="25611C3A"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liczby badań dla zlecającego – jedna lista z podziałem na jednostki zlecające.</w:t>
      </w:r>
      <w:r w:rsidR="00223572" w:rsidRPr="005F0AA8">
        <w:rPr>
          <w:rFonts w:cs="Times New Roman"/>
          <w:sz w:val="22"/>
          <w:szCs w:val="22"/>
        </w:rPr>
        <w:br/>
      </w:r>
      <w:r w:rsidRPr="005F0AA8">
        <w:rPr>
          <w:rFonts w:cs="Times New Roman"/>
          <w:sz w:val="22"/>
          <w:szCs w:val="22"/>
        </w:rPr>
        <w:t>Kryteria wejściowe: zlecający, data wykonania od-do, jednostka organizacyjna. Raport powinien zawierać kolumny: kod procedury (badania, barwienia), opis procedury, liczbę przypadków, w których pojawiła się procedura, liczbę wykonanych procedur, cenę netto, wartość netto, stawkę VAT, wartość brutto, podsumowanie wartości wszystkich wykonanych procedur. Raport powinien pokazywać dane pogrupowane wg oddziału zlecającego</w:t>
      </w:r>
    </w:p>
    <w:p w14:paraId="5E168982" w14:textId="3C12FC08" w:rsidR="003F0831" w:rsidRPr="005F0AA8" w:rsidRDefault="003F0831" w:rsidP="003A1C72">
      <w:pPr>
        <w:pStyle w:val="Akapitzlist"/>
        <w:numPr>
          <w:ilvl w:val="1"/>
          <w:numId w:val="13"/>
        </w:numPr>
        <w:ind w:left="567"/>
        <w:jc w:val="both"/>
        <w:rPr>
          <w:rFonts w:cs="Times New Roman"/>
          <w:sz w:val="22"/>
          <w:szCs w:val="22"/>
        </w:rPr>
      </w:pPr>
      <w:r w:rsidRPr="005F0AA8">
        <w:rPr>
          <w:rFonts w:cs="Times New Roman"/>
          <w:sz w:val="22"/>
          <w:szCs w:val="22"/>
        </w:rPr>
        <w:t xml:space="preserve">Raport liczby wykonanych badań w </w:t>
      </w:r>
      <w:proofErr w:type="spellStart"/>
      <w:r w:rsidRPr="005F0AA8">
        <w:rPr>
          <w:rFonts w:cs="Times New Roman"/>
          <w:sz w:val="22"/>
          <w:szCs w:val="22"/>
        </w:rPr>
        <w:t>targecie</w:t>
      </w:r>
      <w:proofErr w:type="spellEnd"/>
      <w:r w:rsidRPr="005F0AA8">
        <w:rPr>
          <w:rFonts w:cs="Times New Roman"/>
          <w:sz w:val="22"/>
          <w:szCs w:val="22"/>
        </w:rPr>
        <w:t xml:space="preserve"> pilotażu rozliczeń (cały zakład)</w:t>
      </w:r>
    </w:p>
    <w:p w14:paraId="376A2FC9" w14:textId="7DAE92F4" w:rsidR="003F0831" w:rsidRPr="005F0AA8" w:rsidRDefault="003F0831" w:rsidP="003F0831">
      <w:pPr>
        <w:pStyle w:val="Akapitzlist"/>
        <w:ind w:left="567"/>
        <w:jc w:val="both"/>
        <w:rPr>
          <w:rFonts w:cs="Times New Roman"/>
          <w:sz w:val="22"/>
          <w:szCs w:val="22"/>
        </w:rPr>
      </w:pPr>
      <w:r w:rsidRPr="005F0AA8">
        <w:rPr>
          <w:rFonts w:cs="Times New Roman"/>
          <w:sz w:val="22"/>
          <w:szCs w:val="22"/>
        </w:rPr>
        <w:t>Kryteria wejściowe: jednostka organizacyjna, data wykonania od-do; Raport powinien zawierać kolumny: kod procedury, opis procedury, liczba przypadków, liczba procedur, cenę netto, wartość netto, stawkę VAT, wartość brutto, podsumowanie wartości wszystkich wykonanych procedur.</w:t>
      </w:r>
    </w:p>
    <w:p w14:paraId="03F8A927" w14:textId="7B649E36"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liczby badań z podziałem na topografię (np. do statystyk do rozliczeń z NFZ).</w:t>
      </w:r>
      <w:r w:rsidR="00223572" w:rsidRPr="005F0AA8">
        <w:rPr>
          <w:rFonts w:cs="Times New Roman"/>
          <w:sz w:val="22"/>
          <w:szCs w:val="22"/>
        </w:rPr>
        <w:br/>
      </w:r>
      <w:r w:rsidRPr="005F0AA8">
        <w:rPr>
          <w:rFonts w:cs="Times New Roman"/>
          <w:sz w:val="22"/>
          <w:szCs w:val="22"/>
        </w:rPr>
        <w:t>Kryteria wejściowe: zlecający, oddział, data wykonania od-do, jednostka organizacyjna. Raport powinien zawierać kolumny: zlecający (oddział), typ procedury (badania), topografia, liczba przypadków, liczba procedur.</w:t>
      </w:r>
    </w:p>
    <w:p w14:paraId="5F900DD0"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zatwierdzonych badań wg osoby rejestrującej.</w:t>
      </w:r>
    </w:p>
    <w:p w14:paraId="7B0FE0EA" w14:textId="70895508"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data wykonania od-do, jednostka organizacyjna. Raport powinien zawierać kolumny: identyfikator rejestrującego, typ badania, liczba przypadków.</w:t>
      </w:r>
    </w:p>
    <w:p w14:paraId="60F5C58B"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ilości wewnętrznych (wzajemnych) konsultacji</w:t>
      </w:r>
    </w:p>
    <w:p w14:paraId="759EF409" w14:textId="0D1104E7"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Jednostka organizacyjna, data wykonania od-do</w:t>
      </w:r>
      <w:r w:rsidR="009E1EC0" w:rsidRPr="005F0AA8">
        <w:rPr>
          <w:rFonts w:cs="Times New Roman"/>
          <w:sz w:val="22"/>
          <w:szCs w:val="22"/>
        </w:rPr>
        <w:t xml:space="preserve">. </w:t>
      </w:r>
      <w:r w:rsidRPr="005F0AA8">
        <w:rPr>
          <w:rFonts w:cs="Times New Roman"/>
          <w:sz w:val="22"/>
          <w:szCs w:val="22"/>
        </w:rPr>
        <w:t xml:space="preserve">Raport powinien zawierać kolumny: Diagnozujący, Diagnozujący 2, Konsultujący, liczba przypadków, liczba </w:t>
      </w:r>
      <w:proofErr w:type="spellStart"/>
      <w:r w:rsidRPr="005F0AA8">
        <w:rPr>
          <w:rFonts w:cs="Times New Roman"/>
          <w:sz w:val="22"/>
          <w:szCs w:val="22"/>
        </w:rPr>
        <w:t>rozpoznań</w:t>
      </w:r>
      <w:proofErr w:type="spellEnd"/>
      <w:r w:rsidRPr="005F0AA8">
        <w:rPr>
          <w:rFonts w:cs="Times New Roman"/>
          <w:sz w:val="22"/>
          <w:szCs w:val="22"/>
        </w:rPr>
        <w:t>, liczba procedur, liczba preparatów.</w:t>
      </w:r>
    </w:p>
    <w:p w14:paraId="7D6BB7EE" w14:textId="77777777" w:rsidR="009D7F90"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Raport księgi wewnętrznych (wzajemnych) konsultacji</w:t>
      </w:r>
    </w:p>
    <w:p w14:paraId="638F1E50" w14:textId="2E79457E" w:rsidR="009E4757" w:rsidRPr="005F0AA8" w:rsidRDefault="009E4757" w:rsidP="003A1C72">
      <w:pPr>
        <w:pStyle w:val="Akapitzlist"/>
        <w:ind w:left="567"/>
        <w:jc w:val="both"/>
        <w:rPr>
          <w:rFonts w:cs="Times New Roman"/>
          <w:sz w:val="22"/>
          <w:szCs w:val="22"/>
        </w:rPr>
      </w:pPr>
      <w:r w:rsidRPr="005F0AA8">
        <w:rPr>
          <w:rFonts w:cs="Times New Roman"/>
          <w:sz w:val="22"/>
          <w:szCs w:val="22"/>
        </w:rPr>
        <w:t>Kryteria wejściowe: Jednostka organizacyjna, data wykonania od-do</w:t>
      </w:r>
      <w:r w:rsidR="009E1EC0" w:rsidRPr="005F0AA8">
        <w:rPr>
          <w:rFonts w:cs="Times New Roman"/>
          <w:sz w:val="22"/>
          <w:szCs w:val="22"/>
        </w:rPr>
        <w:t xml:space="preserve">. </w:t>
      </w:r>
      <w:r w:rsidRPr="005F0AA8">
        <w:rPr>
          <w:rFonts w:cs="Times New Roman"/>
          <w:sz w:val="22"/>
          <w:szCs w:val="22"/>
        </w:rPr>
        <w:t xml:space="preserve">Raport powinien zawierać kolumny: Numer przypadku, data zatwierdzenia wyniku, Diagnozujący, Diagnozujący 2, Konsultujący, liczba </w:t>
      </w:r>
      <w:proofErr w:type="spellStart"/>
      <w:r w:rsidRPr="005F0AA8">
        <w:rPr>
          <w:rFonts w:cs="Times New Roman"/>
          <w:sz w:val="22"/>
          <w:szCs w:val="22"/>
        </w:rPr>
        <w:t>rozpoznań</w:t>
      </w:r>
      <w:proofErr w:type="spellEnd"/>
      <w:r w:rsidRPr="005F0AA8">
        <w:rPr>
          <w:rFonts w:cs="Times New Roman"/>
          <w:sz w:val="22"/>
          <w:szCs w:val="22"/>
        </w:rPr>
        <w:t>, liczba procedur, liczba preparatów.</w:t>
      </w:r>
    </w:p>
    <w:p w14:paraId="048AD34F" w14:textId="537811E8"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Szczegółowy raport finansowy wykonanych wszystkich procedur medycznych w zadanym okresie z eksportem do pliku CSV, z podziałem na cel rozliczenia (m.in. Zlecający, Diagnozujący, Diagnozujący 2, Konsultujący, Lek. wykrawający, Technik wykrawający).</w:t>
      </w:r>
    </w:p>
    <w:p w14:paraId="13D0168E" w14:textId="6D98EA36"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System umożliwia tworzenie nowych raportów.</w:t>
      </w:r>
    </w:p>
    <w:p w14:paraId="21180F25" w14:textId="3CC562FF"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Możliwość przygotowywania innych raportów zgodnie z potrzebami Zamawiającego przez serwis Wykonawcy.</w:t>
      </w:r>
      <w:r w:rsidR="00570084" w:rsidRPr="005F0AA8">
        <w:rPr>
          <w:rFonts w:cs="Times New Roman"/>
          <w:sz w:val="22"/>
          <w:szCs w:val="22"/>
        </w:rPr>
        <w:t xml:space="preserve"> Przygotowywanie innych raportów zgodnie z potrzebami Zamawiającego będzie odbywać się w ramach zadeklarowanych w </w:t>
      </w:r>
      <w:r w:rsidR="00CA70AF" w:rsidRPr="005F0AA8">
        <w:rPr>
          <w:rFonts w:cs="Times New Roman"/>
          <w:sz w:val="22"/>
          <w:szCs w:val="22"/>
        </w:rPr>
        <w:t>zamówieniu</w:t>
      </w:r>
      <w:r w:rsidR="00570084" w:rsidRPr="005F0AA8">
        <w:rPr>
          <w:rFonts w:cs="Times New Roman"/>
          <w:sz w:val="22"/>
          <w:szCs w:val="22"/>
        </w:rPr>
        <w:t xml:space="preserve"> roboczogodzin</w:t>
      </w:r>
      <w:r w:rsidR="00CA70AF" w:rsidRPr="005F0AA8">
        <w:rPr>
          <w:rFonts w:cs="Times New Roman"/>
          <w:sz w:val="22"/>
          <w:szCs w:val="22"/>
        </w:rPr>
        <w:t xml:space="preserve"> pracy</w:t>
      </w:r>
      <w:r w:rsidR="00570084" w:rsidRPr="005F0AA8">
        <w:rPr>
          <w:rFonts w:cs="Times New Roman"/>
          <w:sz w:val="22"/>
          <w:szCs w:val="22"/>
        </w:rPr>
        <w:t xml:space="preserve"> programisty. Po przekroczeniu zadeklarowanej puli roboczogodzin Wykonawca deklaruje gotowość do wykonania serwisowych usług płatnych, wybiegających ponad liczbę godzin </w:t>
      </w:r>
      <w:r w:rsidR="00CA70AF" w:rsidRPr="005F0AA8">
        <w:rPr>
          <w:rFonts w:cs="Times New Roman"/>
          <w:sz w:val="22"/>
          <w:szCs w:val="22"/>
        </w:rPr>
        <w:t>pracy programisty zadeklarowanych w zamówieniu</w:t>
      </w:r>
      <w:r w:rsidR="00570084" w:rsidRPr="005F0AA8">
        <w:rPr>
          <w:rFonts w:cs="Times New Roman"/>
          <w:sz w:val="22"/>
          <w:szCs w:val="22"/>
        </w:rPr>
        <w:t>, przedstawiając ofertę wykonania prac.</w:t>
      </w:r>
    </w:p>
    <w:p w14:paraId="30FE10BE" w14:textId="286385D2"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Możliwość eksportu raportów do plików Excel XML (lub CSV) oraz PDF.</w:t>
      </w:r>
    </w:p>
    <w:p w14:paraId="1DD5039F" w14:textId="3E40683C" w:rsidR="009E4757" w:rsidRPr="005F0AA8" w:rsidRDefault="009E4757" w:rsidP="009A6A8E">
      <w:pPr>
        <w:pStyle w:val="Nagwek1"/>
        <w:numPr>
          <w:ilvl w:val="0"/>
          <w:numId w:val="13"/>
        </w:numPr>
        <w:rPr>
          <w:rFonts w:cs="Times New Roman"/>
          <w:color w:val="auto"/>
          <w:sz w:val="22"/>
          <w:szCs w:val="22"/>
        </w:rPr>
      </w:pPr>
      <w:bookmarkStart w:id="14" w:name="_Toc194396364"/>
      <w:r w:rsidRPr="005F0AA8">
        <w:rPr>
          <w:rFonts w:cs="Times New Roman"/>
          <w:color w:val="auto"/>
          <w:sz w:val="22"/>
          <w:szCs w:val="22"/>
        </w:rPr>
        <w:lastRenderedPageBreak/>
        <w:t>Finanse</w:t>
      </w:r>
      <w:bookmarkEnd w:id="14"/>
    </w:p>
    <w:p w14:paraId="59275A78" w14:textId="77777777" w:rsidR="003A1C72" w:rsidRPr="005F0AA8" w:rsidRDefault="003A1C72" w:rsidP="003A1C72">
      <w:pPr>
        <w:rPr>
          <w:rFonts w:cs="Times New Roman"/>
          <w:sz w:val="22"/>
          <w:szCs w:val="22"/>
        </w:rPr>
      </w:pPr>
    </w:p>
    <w:p w14:paraId="0FF89FE4" w14:textId="7A05645C"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 xml:space="preserve">Cenniki rozliczeniowe dla: zlecających, diagnozujących, konsultujących, lekarzy wykrawających, techników: wykrawających, zatapiających, krojących i barwiących, rezydentów (wraz z uwzględnieniem statusu rezydenta w regułach cennikowych dla </w:t>
      </w:r>
      <w:proofErr w:type="spellStart"/>
      <w:r w:rsidRPr="005F0AA8">
        <w:rPr>
          <w:rFonts w:cs="Times New Roman"/>
          <w:sz w:val="22"/>
          <w:szCs w:val="22"/>
        </w:rPr>
        <w:t>współdiagnozujących</w:t>
      </w:r>
      <w:proofErr w:type="spellEnd"/>
      <w:r w:rsidRPr="005F0AA8">
        <w:rPr>
          <w:rFonts w:cs="Times New Roman"/>
          <w:sz w:val="22"/>
          <w:szCs w:val="22"/>
        </w:rPr>
        <w:t xml:space="preserve">). Cennik procedur kosztowych. Cenniki tworzone wg zdefiniowanych przez Zamawiającego reguł, a rozliczenie następuje wg najlepiej dopasowanej reguły. Dopasowanie reguły powinno być oparte o kryteria: zleceniodawca, typ badania, typ preparatu, grupa typów preparatów, tryb przyjęcia, topografia, technik wykrawający, lekarz wykrawający, technik zatapiający, technik krojący, technik barwiący, diagnozujący (w tym, czy jest rezydentem), diagnozujący 2, konsultujący, jednostka org. (wykonująca), ID przypadku, terminowości przypadku, typów wykrytych schorzeń definiowanych wg kodów słownikowych (np. ICD10, ICD-O3), paneli </w:t>
      </w:r>
      <w:proofErr w:type="spellStart"/>
      <w:r w:rsidRPr="005F0AA8">
        <w:rPr>
          <w:rFonts w:cs="Times New Roman"/>
          <w:sz w:val="22"/>
          <w:szCs w:val="22"/>
        </w:rPr>
        <w:t>barwień</w:t>
      </w:r>
      <w:proofErr w:type="spellEnd"/>
      <w:r w:rsidRPr="005F0AA8">
        <w:rPr>
          <w:rFonts w:cs="Times New Roman"/>
          <w:sz w:val="22"/>
          <w:szCs w:val="22"/>
        </w:rPr>
        <w:t xml:space="preserve"> dodatkowych (np. panel receptorów: Ki-67, HER-2, Progesteron, Estrogen). Dopasowanie reguły powinno móc być modyfikowane mnożnikiem wagi.</w:t>
      </w:r>
    </w:p>
    <w:p w14:paraId="501A98FC" w14:textId="43A7774F"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Możliwość tworzenia i modyfikacji przez Zamawiającego cenników.</w:t>
      </w:r>
    </w:p>
    <w:p w14:paraId="276BED5D" w14:textId="7BE92329"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Możliwość wyboru stawki VAT oraz stawki zwolnionej z podstawą zwolnienia.</w:t>
      </w:r>
    </w:p>
    <w:p w14:paraId="727DDF40" w14:textId="7DB26917"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 xml:space="preserve">Możliwość rozliczeń przedziałami poprzez określanie kwoty w zależności od zakresu ilości obiektów (bloczków, preparatów) w przypadku, materiale, lokalizacji lub badaniu. </w:t>
      </w:r>
    </w:p>
    <w:p w14:paraId="61EA8B9D" w14:textId="7D895616"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Generowanie dokumentów do rozliczeń dla kontrahentów (rachunków / faktur VAT / faktur VAT korekta), w oparciu o ewidencję procedur w systemie oraz przypisany dla kontrahenta cennik.</w:t>
      </w:r>
    </w:p>
    <w:p w14:paraId="7DFAFF7E" w14:textId="5C5F0194"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Możliwość wystawienia faktury dla zlecającego na podstawie zarejestrowanych w systemie badań. Możliwość ręcznego dodania pozycji do faktury. Możliwość prostego wystawienia faktury za pojedynczy przypadek rozliczany na bieżąco, np. badanie prywatne.</w:t>
      </w:r>
    </w:p>
    <w:p w14:paraId="21286F79" w14:textId="56FEE5F3"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Możliwość wystawienia faktury/rachunku dla Zakładu przez personel na podstawie zarejestrowanych w systemie badań. Możliwość ręcznego określenia numeru faktury zgodnie z numeracją danego wystawcy. Możliwość ręcznego dodania pozycji do faktury.</w:t>
      </w:r>
    </w:p>
    <w:p w14:paraId="2749419C" w14:textId="45A89189"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Możliwość automatycznego dodawania i naliczania do każdego przypadku dodatkowych pozycji wycenionych w cenniku, w zależności od faktycznego wykonania danej procedury medycznej.</w:t>
      </w:r>
    </w:p>
    <w:p w14:paraId="4066D08B" w14:textId="04DD6972"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Możliwość korekty ceny badania po autoryzacji i wydruku badania.</w:t>
      </w:r>
    </w:p>
    <w:p w14:paraId="435B3A4A" w14:textId="4C5741F3"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Możliwość podglądu prognozowanej ceny za przypadek w każdym momencie od wykonania pierwszych czynności technicznych na badanym materiale.</w:t>
      </w:r>
    </w:p>
    <w:p w14:paraId="1DD801E6" w14:textId="1676D0FB"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Generowanie dokumentów do rozliczeń dla personelu (rachunków / faktur VAT / faktur VAT korekta), w oparciu o ewidencję procedur w systemie oraz przypisany do personelu cennik. Możliwość ręcznego dodania pozycji rozliczenia przez uprawnionego użytkownika dla danej osoby personelu.</w:t>
      </w:r>
    </w:p>
    <w:p w14:paraId="02CDA64E" w14:textId="5E412EBB"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Możliwość zdefiniowania procedur medycznych „rozliczeniowych” niewymagających wpisania rozpoznania.</w:t>
      </w:r>
    </w:p>
    <w:p w14:paraId="2671B855" w14:textId="033471ED"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Możliwość rozliczania w dowolnej walucie oraz w punktach przeliczanych następnie na walutę zgodnie z konfiguracją danego zlecającego lub personelu.</w:t>
      </w:r>
    </w:p>
    <w:p w14:paraId="73B95EFC" w14:textId="2A0A32F7"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Możliwość rozliczania przypadku w momencie zatwierdzenia lub na bieżąco w zależności od celu względem którego następuje rozliczenie (np. zlecający lub personel).</w:t>
      </w:r>
    </w:p>
    <w:p w14:paraId="297DCCAE" w14:textId="418B8675"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Profile cennika o różnych regułach cennikowych i cenach. Profile mogą być przypisywane do wersji danego zleceniodawcy i wersji personelu.</w:t>
      </w:r>
    </w:p>
    <w:p w14:paraId="5A21EEAD" w14:textId="045F7A63"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Automatyczne obliczanie rentowności danego przypadku na podstawie ceny za wykonywane badania, koszt procedur i koszty osobowe.</w:t>
      </w:r>
    </w:p>
    <w:p w14:paraId="62CE36EA" w14:textId="6979A6DE"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Zamykanie miesięcy księgowych ręcznie i/lub automatycznie w uzgodnionym dniu miesiąca.</w:t>
      </w:r>
    </w:p>
    <w:p w14:paraId="1C1DA792" w14:textId="0B93E178" w:rsidR="009E4757" w:rsidRPr="005F0AA8" w:rsidRDefault="009E4757" w:rsidP="009A6A8E">
      <w:pPr>
        <w:pStyle w:val="Nagwek1"/>
        <w:numPr>
          <w:ilvl w:val="0"/>
          <w:numId w:val="13"/>
        </w:numPr>
        <w:rPr>
          <w:rFonts w:cs="Times New Roman"/>
          <w:color w:val="auto"/>
          <w:sz w:val="22"/>
          <w:szCs w:val="22"/>
        </w:rPr>
      </w:pPr>
      <w:bookmarkStart w:id="15" w:name="_Toc194396365"/>
      <w:r w:rsidRPr="005F0AA8">
        <w:rPr>
          <w:rFonts w:cs="Times New Roman"/>
          <w:color w:val="auto"/>
          <w:sz w:val="22"/>
          <w:szCs w:val="22"/>
        </w:rPr>
        <w:lastRenderedPageBreak/>
        <w:t>Prezentacja wyników badań dla podmiotów zewnętrznych (zlecających)</w:t>
      </w:r>
      <w:bookmarkEnd w:id="15"/>
      <w:r w:rsidRPr="005F0AA8">
        <w:rPr>
          <w:rFonts w:cs="Times New Roman"/>
          <w:color w:val="auto"/>
          <w:sz w:val="22"/>
          <w:szCs w:val="22"/>
        </w:rPr>
        <w:t xml:space="preserve"> </w:t>
      </w:r>
    </w:p>
    <w:p w14:paraId="3DA356EF" w14:textId="77777777" w:rsidR="003A1C72" w:rsidRPr="005F0AA8" w:rsidRDefault="003A1C72" w:rsidP="003A1C72">
      <w:pPr>
        <w:rPr>
          <w:rFonts w:cs="Times New Roman"/>
          <w:sz w:val="22"/>
          <w:szCs w:val="22"/>
        </w:rPr>
      </w:pPr>
    </w:p>
    <w:p w14:paraId="38B2497B" w14:textId="4313F5CF"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Możliwość powiadamiania zleceniodawcy o dostępności wyniku w systemie poprzez automatyczną wysyłkę e-mail z komunikatem, po autoryzacji wyniku, jeżeli dla danego kontrahenta zostanie zdefiniowany adres e-mail.</w:t>
      </w:r>
    </w:p>
    <w:p w14:paraId="2AB9CB6D" w14:textId="7A65A6B4"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Możliwość udostępnienia wyników w trybie „tylko do odczytu” dla uprawnionych użytkowników zewnętrznych poprzez dedykowany serwis internetowy. Dostęp zabezpieczony kombinacją login / hasło nadawany przez Zamawiającego uprawnia do odczytu własnych zleceń kontrahenta oraz pobrania wyniku w formacie PDF oraz PIK HL7-CDA, także w formacie podpisanym cyfrowo. Możliwość hurtowego pobierania wyników w plikach PDF w postaci archiwum ZIP, w tym zabezpieczonym hasłem.</w:t>
      </w:r>
    </w:p>
    <w:p w14:paraId="34BDE2F9" w14:textId="486D3620"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Możliwość wydruku wyniku/wyników w formacie papierowym, także podpisanego elektronicznie, w celu wydania / wysłania pocztą / faxem do kontrahenta. Możliwość hurtowego wydruku wyników dla wybranego kontrahenta za dany okres.</w:t>
      </w:r>
    </w:p>
    <w:p w14:paraId="73B94425" w14:textId="46FAB53A"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t>Możliwość automatycznej wysyłki pocztą e-mail dobowego raportu zawierającego listę przyjętych skierowań oraz zatwierdzonych przypadków w postaci załącznika ZIP zabezpieczonego hasłem. Raport powinien opcjonalnie zawierać również wyniki w postaci podpisanych cyfrowo plików PDF. Możliwość odrębnej konfiguracji adresu wysyłkowego oraz zawartości załącznika ZIP dla zlecającego i/lub każdego z jego oddziałów.</w:t>
      </w:r>
    </w:p>
    <w:p w14:paraId="2578298B" w14:textId="5857D21D" w:rsidR="009E4757" w:rsidRPr="005F0AA8" w:rsidRDefault="009E4757" w:rsidP="003A1C72">
      <w:pPr>
        <w:pStyle w:val="Nagwek1"/>
        <w:numPr>
          <w:ilvl w:val="0"/>
          <w:numId w:val="13"/>
        </w:numPr>
        <w:ind w:left="567"/>
        <w:rPr>
          <w:rFonts w:cs="Times New Roman"/>
          <w:color w:val="auto"/>
          <w:sz w:val="22"/>
          <w:szCs w:val="22"/>
        </w:rPr>
      </w:pPr>
      <w:bookmarkStart w:id="16" w:name="_Toc194396366"/>
      <w:r w:rsidRPr="005F0AA8">
        <w:rPr>
          <w:rFonts w:cs="Times New Roman"/>
          <w:color w:val="auto"/>
          <w:sz w:val="22"/>
          <w:szCs w:val="22"/>
        </w:rPr>
        <w:t>Współpraca z urządzeniami/sprzętem laboratoryjnym</w:t>
      </w:r>
      <w:bookmarkEnd w:id="16"/>
    </w:p>
    <w:p w14:paraId="7DD4429B" w14:textId="77777777" w:rsidR="003A1C72" w:rsidRPr="005F0AA8" w:rsidRDefault="003A1C72" w:rsidP="003A1C72">
      <w:pPr>
        <w:ind w:left="567"/>
        <w:rPr>
          <w:rFonts w:cs="Times New Roman"/>
          <w:sz w:val="22"/>
          <w:szCs w:val="22"/>
        </w:rPr>
      </w:pPr>
    </w:p>
    <w:p w14:paraId="0DDE74C5" w14:textId="4D2BC2FD" w:rsidR="009E4757" w:rsidRPr="005F0AA8" w:rsidRDefault="009E4757" w:rsidP="003A1C72">
      <w:pPr>
        <w:pStyle w:val="Akapitzlist"/>
        <w:numPr>
          <w:ilvl w:val="1"/>
          <w:numId w:val="13"/>
        </w:numPr>
        <w:ind w:left="567"/>
        <w:rPr>
          <w:rFonts w:cs="Times New Roman"/>
          <w:sz w:val="22"/>
          <w:szCs w:val="22"/>
        </w:rPr>
      </w:pPr>
      <w:r w:rsidRPr="005F0AA8">
        <w:rPr>
          <w:rFonts w:cs="Times New Roman"/>
          <w:sz w:val="22"/>
          <w:szCs w:val="22"/>
        </w:rPr>
        <w:t xml:space="preserve">Współpraca z systemami skanowania preparatów histologicznych </w:t>
      </w:r>
    </w:p>
    <w:p w14:paraId="2A3250AE" w14:textId="76F660AA" w:rsidR="009E4757" w:rsidRPr="005F0AA8" w:rsidRDefault="009E4757" w:rsidP="003A1C72">
      <w:pPr>
        <w:pStyle w:val="Akapitzlist"/>
        <w:numPr>
          <w:ilvl w:val="2"/>
          <w:numId w:val="13"/>
        </w:numPr>
        <w:ind w:left="1134"/>
        <w:jc w:val="both"/>
        <w:rPr>
          <w:rFonts w:cs="Times New Roman"/>
          <w:sz w:val="22"/>
          <w:szCs w:val="22"/>
        </w:rPr>
      </w:pPr>
      <w:r w:rsidRPr="005F0AA8">
        <w:rPr>
          <w:rFonts w:cs="Times New Roman"/>
          <w:sz w:val="22"/>
          <w:szCs w:val="22"/>
        </w:rPr>
        <w:t>System musi umożliwiać integrację z systemami skanowania preparatów histologicznych.</w:t>
      </w:r>
    </w:p>
    <w:p w14:paraId="674DF601" w14:textId="49152A63" w:rsidR="009E4757" w:rsidRPr="005F0AA8" w:rsidRDefault="009E4757" w:rsidP="003A1C72">
      <w:pPr>
        <w:pStyle w:val="Akapitzlist"/>
        <w:numPr>
          <w:ilvl w:val="2"/>
          <w:numId w:val="13"/>
        </w:numPr>
        <w:ind w:left="1134"/>
        <w:jc w:val="both"/>
        <w:rPr>
          <w:rFonts w:cs="Times New Roman"/>
          <w:sz w:val="22"/>
          <w:szCs w:val="22"/>
        </w:rPr>
      </w:pPr>
      <w:r w:rsidRPr="005F0AA8">
        <w:rPr>
          <w:rFonts w:cs="Times New Roman"/>
          <w:sz w:val="22"/>
          <w:szCs w:val="22"/>
        </w:rPr>
        <w:t>Integracja musi umożliwiać wyświetlanie skanu preparatu w oferowanym systemie w kontekście tego preparatu, bez konieczności powtórnego logowania się użytkownika i stosowania dodatkowych aplikacji.</w:t>
      </w:r>
    </w:p>
    <w:p w14:paraId="34E3798D" w14:textId="1A92434C" w:rsidR="009E4757" w:rsidRPr="005F0AA8" w:rsidRDefault="009E4757" w:rsidP="003A1C72">
      <w:pPr>
        <w:pStyle w:val="Akapitzlist"/>
        <w:numPr>
          <w:ilvl w:val="2"/>
          <w:numId w:val="13"/>
        </w:numPr>
        <w:ind w:left="1134"/>
        <w:jc w:val="both"/>
        <w:rPr>
          <w:rFonts w:cs="Times New Roman"/>
          <w:sz w:val="22"/>
          <w:szCs w:val="22"/>
        </w:rPr>
      </w:pPr>
      <w:r w:rsidRPr="005F0AA8">
        <w:rPr>
          <w:rFonts w:cs="Times New Roman"/>
          <w:sz w:val="22"/>
          <w:szCs w:val="22"/>
        </w:rPr>
        <w:t>Obsługa zleceń skanowania preparatów z obsługą komentarzy i wyboru powiększenia (o ile system zintegrowany posiada taką możliwość). Opcjonalna notyfikacja zlecającego po uzyskaniu dostępności skanu ze skanera.</w:t>
      </w:r>
    </w:p>
    <w:p w14:paraId="15BAF35D" w14:textId="50BECB59" w:rsidR="009E4757" w:rsidRPr="005F0AA8" w:rsidRDefault="009E4757" w:rsidP="003A1C72">
      <w:pPr>
        <w:pStyle w:val="Akapitzlist"/>
        <w:numPr>
          <w:ilvl w:val="2"/>
          <w:numId w:val="13"/>
        </w:numPr>
        <w:ind w:left="1134"/>
        <w:jc w:val="both"/>
        <w:rPr>
          <w:rFonts w:cs="Times New Roman"/>
          <w:sz w:val="22"/>
          <w:szCs w:val="22"/>
        </w:rPr>
      </w:pPr>
      <w:r w:rsidRPr="005F0AA8">
        <w:rPr>
          <w:rFonts w:cs="Times New Roman"/>
          <w:sz w:val="22"/>
          <w:szCs w:val="22"/>
        </w:rPr>
        <w:t>Obsługa miniaturek (</w:t>
      </w:r>
      <w:proofErr w:type="spellStart"/>
      <w:r w:rsidRPr="005F0AA8">
        <w:rPr>
          <w:rFonts w:cs="Times New Roman"/>
          <w:sz w:val="22"/>
          <w:szCs w:val="22"/>
        </w:rPr>
        <w:t>thumbnails</w:t>
      </w:r>
      <w:proofErr w:type="spellEnd"/>
      <w:r w:rsidRPr="005F0AA8">
        <w:rPr>
          <w:rFonts w:cs="Times New Roman"/>
          <w:sz w:val="22"/>
          <w:szCs w:val="22"/>
        </w:rPr>
        <w:t>) zeskanowanych preparatów prezentowanych w kontekście preparatów w oferowanym systemie.</w:t>
      </w:r>
    </w:p>
    <w:p w14:paraId="4016E1CB" w14:textId="2A8ADBAB" w:rsidR="009E4757" w:rsidRPr="005F0AA8" w:rsidRDefault="009E4757" w:rsidP="003A1C72">
      <w:pPr>
        <w:pStyle w:val="Akapitzlist"/>
        <w:numPr>
          <w:ilvl w:val="2"/>
          <w:numId w:val="13"/>
        </w:numPr>
        <w:ind w:left="1134"/>
        <w:jc w:val="both"/>
        <w:rPr>
          <w:rFonts w:cs="Times New Roman"/>
          <w:sz w:val="22"/>
          <w:szCs w:val="22"/>
        </w:rPr>
      </w:pPr>
      <w:r w:rsidRPr="005F0AA8">
        <w:rPr>
          <w:rFonts w:cs="Times New Roman"/>
          <w:sz w:val="22"/>
          <w:szCs w:val="22"/>
        </w:rPr>
        <w:t>Obsługa zapobiegania usunięciu istotnych („ważnych”) skanów, a także automatyczne usuwanie skanów po określonym czasie od autoryzacji przypadku – o ile system zintegrowany posiada taką możliwość.</w:t>
      </w:r>
    </w:p>
    <w:p w14:paraId="48E10CA0" w14:textId="046F5EB5" w:rsidR="009E4757" w:rsidRPr="005F0AA8" w:rsidRDefault="009E4757" w:rsidP="003A1C72">
      <w:pPr>
        <w:pStyle w:val="Akapitzlist"/>
        <w:numPr>
          <w:ilvl w:val="2"/>
          <w:numId w:val="13"/>
        </w:numPr>
        <w:ind w:left="1134"/>
        <w:jc w:val="both"/>
        <w:rPr>
          <w:rFonts w:cs="Times New Roman"/>
          <w:sz w:val="22"/>
          <w:szCs w:val="22"/>
        </w:rPr>
      </w:pPr>
      <w:r w:rsidRPr="005F0AA8">
        <w:rPr>
          <w:rFonts w:cs="Times New Roman"/>
          <w:sz w:val="22"/>
          <w:szCs w:val="22"/>
        </w:rPr>
        <w:t>Automatyczne umieszczanie skanów (oparte o kod kreskowy w polu opisowym preparatu) w kontekście odpowiedniego przypadku, nawet gdy diagnozujący nie wystawi zlecenia skanowania – o ile system zintegrowany posiada taką możliwość.</w:t>
      </w:r>
    </w:p>
    <w:p w14:paraId="7CAE34D5" w14:textId="70F770FC" w:rsidR="009E4757" w:rsidRPr="005F0AA8" w:rsidRDefault="009E4757" w:rsidP="003A1C72">
      <w:pPr>
        <w:pStyle w:val="Akapitzlist"/>
        <w:numPr>
          <w:ilvl w:val="2"/>
          <w:numId w:val="13"/>
        </w:numPr>
        <w:ind w:left="1134"/>
        <w:jc w:val="both"/>
        <w:rPr>
          <w:rFonts w:cs="Times New Roman"/>
          <w:sz w:val="22"/>
          <w:szCs w:val="22"/>
        </w:rPr>
      </w:pPr>
      <w:r w:rsidRPr="005F0AA8">
        <w:rPr>
          <w:rFonts w:cs="Times New Roman"/>
          <w:sz w:val="22"/>
          <w:szCs w:val="22"/>
        </w:rPr>
        <w:t>Powiadomienie osoby zlecającej skan poprzez komunikat systemowy po uzyskaniu dostępności skanu ze skanera (jeżeli w zleceniu skanowania osoba zlecająca oznaczy taką opcję).</w:t>
      </w:r>
    </w:p>
    <w:p w14:paraId="422DBFFF" w14:textId="0E40AD5E" w:rsidR="009E4757" w:rsidRPr="005F0AA8" w:rsidRDefault="009E4757" w:rsidP="003A1C72">
      <w:pPr>
        <w:pStyle w:val="Akapitzlist"/>
        <w:numPr>
          <w:ilvl w:val="2"/>
          <w:numId w:val="13"/>
        </w:numPr>
        <w:ind w:left="1134"/>
        <w:jc w:val="both"/>
        <w:rPr>
          <w:rFonts w:cs="Times New Roman"/>
          <w:sz w:val="22"/>
          <w:szCs w:val="22"/>
        </w:rPr>
      </w:pPr>
      <w:r w:rsidRPr="005F0AA8">
        <w:rPr>
          <w:rFonts w:cs="Times New Roman"/>
          <w:sz w:val="22"/>
          <w:szCs w:val="22"/>
        </w:rPr>
        <w:t xml:space="preserve">Możliwość oznaczenia przypadku jako w pełni cyfrowego (Digital </w:t>
      </w:r>
      <w:proofErr w:type="spellStart"/>
      <w:r w:rsidRPr="005F0AA8">
        <w:rPr>
          <w:rFonts w:cs="Times New Roman"/>
          <w:sz w:val="22"/>
          <w:szCs w:val="22"/>
        </w:rPr>
        <w:t>Pathology</w:t>
      </w:r>
      <w:proofErr w:type="spellEnd"/>
      <w:r w:rsidRPr="005F0AA8">
        <w:rPr>
          <w:rFonts w:cs="Times New Roman"/>
          <w:sz w:val="22"/>
          <w:szCs w:val="22"/>
        </w:rPr>
        <w:t>) wymagającego, aby każdy preparat posiadał skan.</w:t>
      </w:r>
    </w:p>
    <w:p w14:paraId="702B73C6" w14:textId="036FAF62" w:rsidR="009E4757" w:rsidRPr="005F0AA8" w:rsidRDefault="009E4757" w:rsidP="003A1C72">
      <w:pPr>
        <w:pStyle w:val="Akapitzlist"/>
        <w:numPr>
          <w:ilvl w:val="2"/>
          <w:numId w:val="13"/>
        </w:numPr>
        <w:ind w:left="1134"/>
        <w:jc w:val="both"/>
        <w:rPr>
          <w:rFonts w:cs="Times New Roman"/>
          <w:sz w:val="22"/>
          <w:szCs w:val="22"/>
        </w:rPr>
      </w:pPr>
      <w:r w:rsidRPr="005F0AA8">
        <w:rPr>
          <w:rFonts w:cs="Times New Roman"/>
          <w:sz w:val="22"/>
          <w:szCs w:val="22"/>
        </w:rPr>
        <w:t>Możliwość automatycznej kompletacji preparatów przez system skanowania oraz przekazania ich do diagnozującego (wskazanego na etapie rejestracji przypadku lub wykrawania) po zeskanowaniu wszystkich preparatów z danego przypadku.</w:t>
      </w:r>
    </w:p>
    <w:p w14:paraId="4E056079" w14:textId="783DAED2" w:rsidR="009E4757" w:rsidRPr="005F0AA8" w:rsidRDefault="009E4757" w:rsidP="003A1C72">
      <w:pPr>
        <w:pStyle w:val="Akapitzlist"/>
        <w:numPr>
          <w:ilvl w:val="1"/>
          <w:numId w:val="13"/>
        </w:numPr>
        <w:ind w:left="567"/>
        <w:jc w:val="both"/>
        <w:rPr>
          <w:rFonts w:cs="Times New Roman"/>
          <w:sz w:val="22"/>
          <w:szCs w:val="22"/>
        </w:rPr>
      </w:pPr>
      <w:r w:rsidRPr="005F0AA8">
        <w:rPr>
          <w:rFonts w:cs="Times New Roman"/>
          <w:sz w:val="22"/>
          <w:szCs w:val="22"/>
        </w:rPr>
        <w:lastRenderedPageBreak/>
        <w:t>Współpraca z barwiarkami/</w:t>
      </w:r>
      <w:proofErr w:type="spellStart"/>
      <w:r w:rsidRPr="005F0AA8">
        <w:rPr>
          <w:rFonts w:cs="Times New Roman"/>
          <w:sz w:val="22"/>
          <w:szCs w:val="22"/>
        </w:rPr>
        <w:t>nakrywarkami</w:t>
      </w:r>
      <w:proofErr w:type="spellEnd"/>
      <w:r w:rsidRPr="005F0AA8">
        <w:rPr>
          <w:rFonts w:cs="Times New Roman"/>
          <w:sz w:val="22"/>
          <w:szCs w:val="22"/>
        </w:rPr>
        <w:t xml:space="preserve"> do preparatów.</w:t>
      </w:r>
    </w:p>
    <w:p w14:paraId="3F52F160" w14:textId="52B1696C" w:rsidR="009E4757" w:rsidRPr="005F0AA8" w:rsidRDefault="009E4757" w:rsidP="003A1C72">
      <w:pPr>
        <w:pStyle w:val="Akapitzlist"/>
        <w:numPr>
          <w:ilvl w:val="2"/>
          <w:numId w:val="13"/>
        </w:numPr>
        <w:ind w:left="1134"/>
        <w:jc w:val="both"/>
        <w:rPr>
          <w:rFonts w:cs="Times New Roman"/>
          <w:sz w:val="22"/>
          <w:szCs w:val="22"/>
        </w:rPr>
      </w:pPr>
      <w:r w:rsidRPr="005F0AA8">
        <w:rPr>
          <w:rFonts w:cs="Times New Roman"/>
          <w:sz w:val="22"/>
          <w:szCs w:val="22"/>
        </w:rPr>
        <w:t>System musi współpracować z barwiarkami/</w:t>
      </w:r>
      <w:proofErr w:type="spellStart"/>
      <w:r w:rsidRPr="005F0AA8">
        <w:rPr>
          <w:rFonts w:cs="Times New Roman"/>
          <w:sz w:val="22"/>
          <w:szCs w:val="22"/>
        </w:rPr>
        <w:t>nakrywarkami</w:t>
      </w:r>
      <w:proofErr w:type="spellEnd"/>
      <w:r w:rsidRPr="005F0AA8">
        <w:rPr>
          <w:rFonts w:cs="Times New Roman"/>
          <w:sz w:val="22"/>
          <w:szCs w:val="22"/>
        </w:rPr>
        <w:t xml:space="preserve"> do preparatów wyposażonymi w czytniki kodów lub umożliwiającymi instalację takich czytników.</w:t>
      </w:r>
    </w:p>
    <w:p w14:paraId="6C02CD88" w14:textId="0B7FB158" w:rsidR="009E4757" w:rsidRPr="005F0AA8" w:rsidRDefault="009E4757" w:rsidP="003A1C72">
      <w:pPr>
        <w:pStyle w:val="Akapitzlist"/>
        <w:numPr>
          <w:ilvl w:val="2"/>
          <w:numId w:val="13"/>
        </w:numPr>
        <w:ind w:left="1134"/>
        <w:jc w:val="both"/>
        <w:rPr>
          <w:rFonts w:cs="Times New Roman"/>
          <w:sz w:val="22"/>
          <w:szCs w:val="22"/>
        </w:rPr>
      </w:pPr>
      <w:r w:rsidRPr="005F0AA8">
        <w:rPr>
          <w:rFonts w:cs="Times New Roman"/>
          <w:sz w:val="22"/>
          <w:szCs w:val="22"/>
        </w:rPr>
        <w:t>Integracja musi umożliwiać automatyczne oznaczenie preparatu jako zabarwiony po jego zabarwieniu, nakryciu i zeskanowaniu przez barwiarkę/</w:t>
      </w:r>
      <w:proofErr w:type="spellStart"/>
      <w:r w:rsidRPr="005F0AA8">
        <w:rPr>
          <w:rFonts w:cs="Times New Roman"/>
          <w:sz w:val="22"/>
          <w:szCs w:val="22"/>
        </w:rPr>
        <w:t>nakrywarkę</w:t>
      </w:r>
      <w:proofErr w:type="spellEnd"/>
      <w:r w:rsidRPr="005F0AA8">
        <w:rPr>
          <w:rFonts w:cs="Times New Roman"/>
          <w:sz w:val="22"/>
          <w:szCs w:val="22"/>
        </w:rPr>
        <w:t>.</w:t>
      </w:r>
    </w:p>
    <w:p w14:paraId="4293DC8F" w14:textId="35796361" w:rsidR="009E4757" w:rsidRPr="005F0AA8" w:rsidRDefault="009E4757" w:rsidP="003A1C72">
      <w:pPr>
        <w:pStyle w:val="Akapitzlist"/>
        <w:numPr>
          <w:ilvl w:val="2"/>
          <w:numId w:val="13"/>
        </w:numPr>
        <w:ind w:left="1134"/>
        <w:jc w:val="both"/>
        <w:rPr>
          <w:rFonts w:cs="Times New Roman"/>
          <w:sz w:val="22"/>
          <w:szCs w:val="22"/>
        </w:rPr>
      </w:pPr>
      <w:r w:rsidRPr="005F0AA8">
        <w:rPr>
          <w:rFonts w:cs="Times New Roman"/>
          <w:sz w:val="22"/>
          <w:szCs w:val="22"/>
        </w:rPr>
        <w:t>Po zabarwieniu/nakryciu preparat może zostać losowo wybrany do kontroli jakości.</w:t>
      </w:r>
    </w:p>
    <w:p w14:paraId="3D81210F" w14:textId="526E7641" w:rsidR="009E4757" w:rsidRPr="005F0AA8" w:rsidRDefault="009E4757" w:rsidP="003A1C72">
      <w:pPr>
        <w:pStyle w:val="Akapitzlist"/>
        <w:numPr>
          <w:ilvl w:val="2"/>
          <w:numId w:val="13"/>
        </w:numPr>
        <w:ind w:left="1134"/>
        <w:jc w:val="both"/>
        <w:rPr>
          <w:rFonts w:cs="Times New Roman"/>
          <w:sz w:val="22"/>
          <w:szCs w:val="22"/>
        </w:rPr>
      </w:pPr>
      <w:r w:rsidRPr="005F0AA8">
        <w:rPr>
          <w:rFonts w:cs="Times New Roman"/>
          <w:sz w:val="22"/>
          <w:szCs w:val="22"/>
        </w:rPr>
        <w:t xml:space="preserve">Wdrożenie funkcjonalności zostanie wykonane </w:t>
      </w:r>
      <w:r w:rsidR="00F5444C" w:rsidRPr="005F0AA8">
        <w:rPr>
          <w:rFonts w:cs="Times New Roman"/>
          <w:sz w:val="22"/>
          <w:szCs w:val="22"/>
        </w:rPr>
        <w:t xml:space="preserve">w </w:t>
      </w:r>
      <w:r w:rsidRPr="005F0AA8">
        <w:rPr>
          <w:rFonts w:cs="Times New Roman"/>
          <w:sz w:val="22"/>
          <w:szCs w:val="22"/>
        </w:rPr>
        <w:t xml:space="preserve">czasie gwarancji, o ile Zamawiający będzie w posiadaniu </w:t>
      </w:r>
      <w:proofErr w:type="spellStart"/>
      <w:r w:rsidRPr="005F0AA8">
        <w:rPr>
          <w:rFonts w:cs="Times New Roman"/>
          <w:sz w:val="22"/>
          <w:szCs w:val="22"/>
        </w:rPr>
        <w:t>nakrywarki</w:t>
      </w:r>
      <w:proofErr w:type="spellEnd"/>
      <w:r w:rsidRPr="005F0AA8">
        <w:rPr>
          <w:rFonts w:cs="Times New Roman"/>
          <w:sz w:val="22"/>
          <w:szCs w:val="22"/>
        </w:rPr>
        <w:t xml:space="preserve"> posiadającej czytnik kodów kreskowych (max 1 szt.).</w:t>
      </w:r>
    </w:p>
    <w:p w14:paraId="0BA207C5" w14:textId="49FA3EE7" w:rsidR="005C6493" w:rsidRPr="005F0AA8" w:rsidRDefault="005C6493" w:rsidP="005C6493">
      <w:pPr>
        <w:pStyle w:val="Akapitzlist"/>
        <w:numPr>
          <w:ilvl w:val="2"/>
          <w:numId w:val="13"/>
        </w:numPr>
        <w:ind w:left="1134"/>
        <w:jc w:val="both"/>
        <w:rPr>
          <w:rFonts w:cs="Times New Roman"/>
          <w:sz w:val="22"/>
          <w:szCs w:val="22"/>
        </w:rPr>
      </w:pPr>
      <w:r w:rsidRPr="005F0AA8">
        <w:rPr>
          <w:rFonts w:cs="Times New Roman"/>
          <w:sz w:val="22"/>
          <w:szCs w:val="22"/>
        </w:rPr>
        <w:t>Funkcjonalność nie jest przedmiotem niniejszego zamówienia zostanie uruchomiona na rzecz Zamawiającego w ramach odrębnego postępowania.</w:t>
      </w:r>
    </w:p>
    <w:p w14:paraId="1DDDFE63" w14:textId="09ECAFA2" w:rsidR="009E4757" w:rsidRPr="005F0AA8" w:rsidRDefault="009E4757" w:rsidP="008E1C5E">
      <w:pPr>
        <w:pStyle w:val="Akapitzlist"/>
        <w:numPr>
          <w:ilvl w:val="1"/>
          <w:numId w:val="13"/>
        </w:numPr>
        <w:ind w:left="567"/>
        <w:jc w:val="both"/>
        <w:rPr>
          <w:rFonts w:cs="Times New Roman"/>
          <w:sz w:val="22"/>
          <w:szCs w:val="22"/>
        </w:rPr>
      </w:pPr>
      <w:r w:rsidRPr="005F0AA8">
        <w:rPr>
          <w:rFonts w:cs="Times New Roman"/>
          <w:sz w:val="22"/>
          <w:szCs w:val="22"/>
        </w:rPr>
        <w:t>Współpraca z urządzeniami do znakowania</w:t>
      </w:r>
    </w:p>
    <w:p w14:paraId="13148AC7" w14:textId="77777777" w:rsidR="009D7F90" w:rsidRPr="005F0AA8" w:rsidRDefault="009E4757" w:rsidP="003A1C72">
      <w:pPr>
        <w:pStyle w:val="Akapitzlist"/>
        <w:numPr>
          <w:ilvl w:val="2"/>
          <w:numId w:val="13"/>
        </w:numPr>
        <w:ind w:left="1134"/>
        <w:jc w:val="both"/>
        <w:rPr>
          <w:rFonts w:cs="Times New Roman"/>
          <w:sz w:val="22"/>
          <w:szCs w:val="22"/>
        </w:rPr>
      </w:pPr>
      <w:r w:rsidRPr="005F0AA8">
        <w:rPr>
          <w:rFonts w:cs="Times New Roman"/>
          <w:sz w:val="22"/>
          <w:szCs w:val="22"/>
        </w:rPr>
        <w:t>Współpraca systemu z dedykowanymi drukarkami do kasetek histopatologicznych.</w:t>
      </w:r>
    </w:p>
    <w:p w14:paraId="6920BBDA" w14:textId="67390F80" w:rsidR="009E4757" w:rsidRPr="005F0AA8" w:rsidRDefault="009E4757" w:rsidP="003A1C72">
      <w:pPr>
        <w:pStyle w:val="Akapitzlist"/>
        <w:numPr>
          <w:ilvl w:val="3"/>
          <w:numId w:val="13"/>
        </w:numPr>
        <w:jc w:val="both"/>
        <w:rPr>
          <w:rFonts w:cs="Times New Roman"/>
          <w:sz w:val="22"/>
          <w:szCs w:val="22"/>
        </w:rPr>
      </w:pPr>
      <w:r w:rsidRPr="005F0AA8">
        <w:rPr>
          <w:rFonts w:cs="Times New Roman"/>
          <w:sz w:val="22"/>
          <w:szCs w:val="22"/>
        </w:rPr>
        <w:t>Możliwość wskazania podajnika, z którego ma nastąpić pobranie kasetki do zadruku, jeżeli model drukarki wspiera taką funkcjonalność. Podajnik może być podpowiadany automatycznie na podstawie konfigurowalnych kryteriów jak typ, podtyp i sposób pobrania materiału, tryb przyjęcia, ścieżka kliniczna, typ badania, jednostka organizacyjna, projekt, topografia.</w:t>
      </w:r>
    </w:p>
    <w:p w14:paraId="33C46B52" w14:textId="77777777" w:rsidR="009D7F90" w:rsidRPr="005F0AA8" w:rsidRDefault="009E4757" w:rsidP="003A1C72">
      <w:pPr>
        <w:pStyle w:val="Akapitzlist"/>
        <w:numPr>
          <w:ilvl w:val="2"/>
          <w:numId w:val="13"/>
        </w:numPr>
        <w:ind w:left="1134"/>
        <w:jc w:val="both"/>
        <w:rPr>
          <w:rFonts w:cs="Times New Roman"/>
          <w:sz w:val="22"/>
          <w:szCs w:val="22"/>
        </w:rPr>
      </w:pPr>
      <w:r w:rsidRPr="005F0AA8">
        <w:rPr>
          <w:rFonts w:cs="Times New Roman"/>
          <w:sz w:val="22"/>
          <w:szCs w:val="22"/>
        </w:rPr>
        <w:t>Współpraca systemu z dedykowanymi drukarkami do szkiełek mikroskopowych.</w:t>
      </w:r>
    </w:p>
    <w:p w14:paraId="796FE866" w14:textId="2EA34395" w:rsidR="009E4757" w:rsidRPr="005F0AA8" w:rsidRDefault="009E4757" w:rsidP="003A1C72">
      <w:pPr>
        <w:pStyle w:val="Akapitzlist"/>
        <w:numPr>
          <w:ilvl w:val="3"/>
          <w:numId w:val="13"/>
        </w:numPr>
        <w:jc w:val="both"/>
        <w:rPr>
          <w:rFonts w:cs="Times New Roman"/>
          <w:sz w:val="22"/>
          <w:szCs w:val="22"/>
        </w:rPr>
      </w:pPr>
      <w:r w:rsidRPr="005F0AA8">
        <w:rPr>
          <w:rFonts w:cs="Times New Roman"/>
          <w:sz w:val="22"/>
          <w:szCs w:val="22"/>
        </w:rPr>
        <w:t xml:space="preserve">Możliwość automatycznego pobrania szkiełka z odpowiedniego podajnika drukarki w zależności od typu drukowanego preparatu (np. </w:t>
      </w:r>
      <w:proofErr w:type="spellStart"/>
      <w:r w:rsidRPr="005F0AA8">
        <w:rPr>
          <w:rFonts w:cs="Times New Roman"/>
          <w:sz w:val="22"/>
          <w:szCs w:val="22"/>
        </w:rPr>
        <w:t>Hematoksylina</w:t>
      </w:r>
      <w:proofErr w:type="spellEnd"/>
      <w:r w:rsidRPr="005F0AA8">
        <w:rPr>
          <w:rFonts w:cs="Times New Roman"/>
          <w:sz w:val="22"/>
          <w:szCs w:val="22"/>
        </w:rPr>
        <w:t>-Eozyna, Histochemia itp.), jeżeli model drukarki wspiera taką funkcjonalność.</w:t>
      </w:r>
    </w:p>
    <w:p w14:paraId="13A4F710" w14:textId="77777777" w:rsidR="00A77686" w:rsidRPr="005F0AA8" w:rsidRDefault="00A77686" w:rsidP="00A77686">
      <w:pPr>
        <w:pStyle w:val="Akapitzlist"/>
        <w:numPr>
          <w:ilvl w:val="2"/>
          <w:numId w:val="13"/>
        </w:numPr>
        <w:ind w:left="1134"/>
        <w:jc w:val="both"/>
        <w:rPr>
          <w:rFonts w:cs="Times New Roman"/>
          <w:sz w:val="22"/>
          <w:szCs w:val="22"/>
        </w:rPr>
      </w:pPr>
      <w:r w:rsidRPr="005F0AA8">
        <w:rPr>
          <w:rFonts w:cs="Times New Roman"/>
          <w:sz w:val="22"/>
          <w:szCs w:val="22"/>
        </w:rPr>
        <w:t>Funkcjonalność nie jest przedmiotem niniejszego zamówienia zostanie uruchomiona na rzecz Zamawiającego w ramach odrębnego postępowania.</w:t>
      </w:r>
    </w:p>
    <w:p w14:paraId="4C833CE0" w14:textId="177BE174" w:rsidR="009E4757" w:rsidRPr="005F0AA8" w:rsidRDefault="009E4757" w:rsidP="003A1C72">
      <w:pPr>
        <w:pStyle w:val="Akapitzlist"/>
        <w:numPr>
          <w:ilvl w:val="1"/>
          <w:numId w:val="13"/>
        </w:numPr>
        <w:ind w:left="567"/>
        <w:rPr>
          <w:rFonts w:cs="Times New Roman"/>
          <w:sz w:val="22"/>
          <w:szCs w:val="22"/>
        </w:rPr>
      </w:pPr>
      <w:r w:rsidRPr="005F0AA8">
        <w:rPr>
          <w:rFonts w:cs="Times New Roman"/>
          <w:sz w:val="22"/>
          <w:szCs w:val="22"/>
        </w:rPr>
        <w:t>Współpraca z systemami barwiącymi</w:t>
      </w:r>
    </w:p>
    <w:p w14:paraId="1BE1AB5C" w14:textId="7704DFA0" w:rsidR="009E4757" w:rsidRPr="005F0AA8" w:rsidRDefault="009E4757" w:rsidP="00D06C5A">
      <w:pPr>
        <w:pStyle w:val="Akapitzlist"/>
        <w:numPr>
          <w:ilvl w:val="2"/>
          <w:numId w:val="13"/>
        </w:numPr>
        <w:ind w:left="1134"/>
        <w:rPr>
          <w:rFonts w:cs="Times New Roman"/>
          <w:sz w:val="22"/>
          <w:szCs w:val="22"/>
        </w:rPr>
      </w:pPr>
      <w:r w:rsidRPr="005F0AA8">
        <w:rPr>
          <w:rFonts w:cs="Times New Roman"/>
          <w:sz w:val="22"/>
          <w:szCs w:val="22"/>
        </w:rPr>
        <w:t>W ramach wdrożenia Wykonawca wykona integrację z następującymi systemami barwienia będącymi w posiadaniu Zamawiającego:</w:t>
      </w:r>
    </w:p>
    <w:p w14:paraId="1313B7B5" w14:textId="1CA3E50B" w:rsidR="009E1EC0" w:rsidRPr="005F0AA8" w:rsidRDefault="005F0AA8" w:rsidP="00D06C5A">
      <w:pPr>
        <w:pStyle w:val="Akapitzlist"/>
        <w:numPr>
          <w:ilvl w:val="3"/>
          <w:numId w:val="13"/>
        </w:numPr>
        <w:rPr>
          <w:rFonts w:cs="Times New Roman"/>
          <w:sz w:val="22"/>
          <w:szCs w:val="22"/>
        </w:rPr>
      </w:pPr>
      <w:r w:rsidRPr="005F0AA8">
        <w:rPr>
          <w:rFonts w:cs="Times New Roman"/>
          <w:sz w:val="22"/>
          <w:szCs w:val="22"/>
        </w:rPr>
        <w:t xml:space="preserve">Urządzenia do </w:t>
      </w:r>
      <w:proofErr w:type="spellStart"/>
      <w:r w:rsidRPr="005F0AA8">
        <w:rPr>
          <w:rFonts w:cs="Times New Roman"/>
          <w:sz w:val="22"/>
          <w:szCs w:val="22"/>
        </w:rPr>
        <w:t>immunohistochemii</w:t>
      </w:r>
      <w:proofErr w:type="spellEnd"/>
    </w:p>
    <w:p w14:paraId="4F9457BE" w14:textId="77777777" w:rsidR="009E1EC0" w:rsidRPr="005F0AA8" w:rsidRDefault="009E4757" w:rsidP="0072458A">
      <w:pPr>
        <w:ind w:left="567"/>
        <w:jc w:val="both"/>
        <w:rPr>
          <w:rFonts w:cs="Times New Roman"/>
          <w:sz w:val="22"/>
          <w:szCs w:val="22"/>
        </w:rPr>
      </w:pPr>
      <w:r w:rsidRPr="005F0AA8">
        <w:rPr>
          <w:rFonts w:cs="Times New Roman"/>
          <w:sz w:val="22"/>
          <w:szCs w:val="22"/>
        </w:rPr>
        <w:t>Koszt zakupu licencji ponosi Wykonawca.  Po stronie Wykonawcy leży dostarczenie niezbędnego sprzętu i wszystkich niezbędnych licencji w tym na system operacyjny. Zamawiający oczekuje dostawy licencji wieczystej, chyba że producent systemu barwienia przewiduje wyłącznie sprzedaż na zasadach subskrypcji.</w:t>
      </w:r>
    </w:p>
    <w:p w14:paraId="06A3714C" w14:textId="40763485" w:rsidR="009E4757" w:rsidRPr="005F0AA8" w:rsidRDefault="009E4757" w:rsidP="0072458A">
      <w:pPr>
        <w:pStyle w:val="Akapitzlist"/>
        <w:numPr>
          <w:ilvl w:val="2"/>
          <w:numId w:val="26"/>
        </w:numPr>
        <w:jc w:val="both"/>
        <w:rPr>
          <w:rFonts w:cs="Times New Roman"/>
          <w:sz w:val="22"/>
          <w:szCs w:val="22"/>
        </w:rPr>
      </w:pPr>
      <w:r w:rsidRPr="005F0AA8">
        <w:rPr>
          <w:rFonts w:cs="Times New Roman"/>
          <w:sz w:val="22"/>
          <w:szCs w:val="22"/>
        </w:rPr>
        <w:t xml:space="preserve">Integracja oferowanego systemu z systemem do </w:t>
      </w:r>
      <w:proofErr w:type="spellStart"/>
      <w:r w:rsidRPr="005F0AA8">
        <w:rPr>
          <w:rFonts w:cs="Times New Roman"/>
          <w:sz w:val="22"/>
          <w:szCs w:val="22"/>
        </w:rPr>
        <w:t>barwień</w:t>
      </w:r>
      <w:proofErr w:type="spellEnd"/>
      <w:r w:rsidRPr="005F0AA8">
        <w:rPr>
          <w:rFonts w:cs="Times New Roman"/>
          <w:sz w:val="22"/>
          <w:szCs w:val="22"/>
        </w:rPr>
        <w:t xml:space="preserve"> immunohistochemicznych musi obejmować co najmniej:</w:t>
      </w:r>
    </w:p>
    <w:p w14:paraId="473E14F3" w14:textId="1365CE7F"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Integracja dwukierunkowa - każdy z systemów (system laboratoryjny oraz system barwienia) może zainicjować połączenie do drugiego systemu.</w:t>
      </w:r>
    </w:p>
    <w:p w14:paraId="33B68BCA" w14:textId="52DD6445"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Patomorfolog w systemie laboratoryjnym zleca barwienie dodatkowe do konkretnego bloczka.</w:t>
      </w:r>
    </w:p>
    <w:p w14:paraId="7D1D923B" w14:textId="68F46904"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System uniemożliwia zlecenie barwienia dodatkowego, gdy dla danego bloczka parafinowego zostało już wykonanie dane badanie dodatkowe (możliwość zlecenia takiego badania po uprzednim zatwierdzeniu ostrzeżenia o wykonanym badaniu przez uprawnionego użytkownika).</w:t>
      </w:r>
    </w:p>
    <w:p w14:paraId="727FD711" w14:textId="11F19C83"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System informuje, gdy dla danego materiału (lub lokalizacji anatomicznej) wykonano takie barwienia dodatkowe, ale z innego bloczka parafinowego.</w:t>
      </w:r>
    </w:p>
    <w:p w14:paraId="2D6AAE46" w14:textId="197BD829"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Personel laboratorium tworzy szkiełko, drukuje je z systemu laboratoryjnego i umieszcza na nim skrawek tkankowy do barwienia.</w:t>
      </w:r>
    </w:p>
    <w:p w14:paraId="70AC7A16" w14:textId="7ACD24E3"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Szkiełko zawiera kod, unikatowy w obrębie całego laboratorium, stanowiący identyfikator preparatu. Kod będzie wydrukowany w formacie 2D.</w:t>
      </w:r>
    </w:p>
    <w:p w14:paraId="23D482D9" w14:textId="37CA4BD4"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lastRenderedPageBreak/>
        <w:t xml:space="preserve"> </w:t>
      </w:r>
      <w:r w:rsidR="009E4757" w:rsidRPr="005F0AA8">
        <w:rPr>
          <w:rFonts w:cs="Times New Roman"/>
          <w:sz w:val="22"/>
          <w:szCs w:val="22"/>
        </w:rPr>
        <w:t>System laboratoryjny w momencie dodania preparatu wysyła do systemu barwienia zlecenie barwienia.</w:t>
      </w:r>
    </w:p>
    <w:p w14:paraId="2AAC8531" w14:textId="55B90B26"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 xml:space="preserve">W przypadku anulowania zlecenia barwienia system laboratoryjny wyśle informację, że zlecenie jest anulowane. System barwienia wykreśli wtedy takie zlecenie barwienia z bazy lub je </w:t>
      </w:r>
      <w:proofErr w:type="spellStart"/>
      <w:r w:rsidR="009E4757" w:rsidRPr="005F0AA8">
        <w:rPr>
          <w:rFonts w:cs="Times New Roman"/>
          <w:sz w:val="22"/>
          <w:szCs w:val="22"/>
        </w:rPr>
        <w:t>zdezaktywuje</w:t>
      </w:r>
      <w:proofErr w:type="spellEnd"/>
      <w:r w:rsidR="009E4757" w:rsidRPr="005F0AA8">
        <w:rPr>
          <w:rFonts w:cs="Times New Roman"/>
          <w:sz w:val="22"/>
          <w:szCs w:val="22"/>
        </w:rPr>
        <w:t>/ukryje.</w:t>
      </w:r>
    </w:p>
    <w:p w14:paraId="377E71C8" w14:textId="1C19BA65"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Zlecenie barwienia zawiera dane: imię i nazwisko pacjenta, PESEL, identyfikator pacjenta z systemu szpitalnego (HIS), numer przypadku, numer bloczka parafinowego, typ barwienia ze słownika systemu barwienia, kod kreskowy z preparatu.</w:t>
      </w:r>
    </w:p>
    <w:p w14:paraId="08DFDC5A" w14:textId="0D916059"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Jeżeli system barwienia będzie wspierać określanie stref zakraplania odczynnika, to w systemie laboratoryjnym powinna być funkcja wyboru strefy zakraplania.</w:t>
      </w:r>
    </w:p>
    <w:p w14:paraId="0F15223E" w14:textId="66AADF3E"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System barwienia zapisuje zlecenie barwienia do swojej bazy danych i z chwilą umieszczenia szkiełka w maszynie barwiącej, na podstawie kodu kreskowego i danych zlecenia określi ona typ barwienia i je wykona.</w:t>
      </w:r>
    </w:p>
    <w:p w14:paraId="38CF6B2E" w14:textId="668FBA72"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System barwienia po zakończeniu barwienia wysyła do systemu laboratoryjnego informację ze statusem zakończenia barwienia, aby poinformować patomorfologa, że preparat jest już na ukończeniu.</w:t>
      </w:r>
    </w:p>
    <w:p w14:paraId="084FA891" w14:textId="1632DC42"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 xml:space="preserve">Wykonawca jest zobowiązany do uzgodnienia słowników </w:t>
      </w:r>
      <w:proofErr w:type="spellStart"/>
      <w:r w:rsidR="009E4757" w:rsidRPr="005F0AA8">
        <w:rPr>
          <w:rFonts w:cs="Times New Roman"/>
          <w:sz w:val="22"/>
          <w:szCs w:val="22"/>
        </w:rPr>
        <w:t>barwień</w:t>
      </w:r>
      <w:proofErr w:type="spellEnd"/>
      <w:r w:rsidR="009E4757" w:rsidRPr="005F0AA8">
        <w:rPr>
          <w:rFonts w:cs="Times New Roman"/>
          <w:sz w:val="22"/>
          <w:szCs w:val="22"/>
        </w:rPr>
        <w:t xml:space="preserve"> z dostawcą systemu barwienia.</w:t>
      </w:r>
    </w:p>
    <w:p w14:paraId="730288E1" w14:textId="4C577F29"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Niedopuszczalne jest wielokrotne oznakowanie szkiełka różnymi kodami kreskowymi w trakcie procesu przygotowywania i barwienia.</w:t>
      </w:r>
    </w:p>
    <w:p w14:paraId="434A2782" w14:textId="6BB0F81E"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System nie pozwala na wykonanie powtórnego badania z tego samego bloczka parafinowego skutkującego powstaniem duplikatu, chyba że osoba posiada stosowne uprawnienia.</w:t>
      </w:r>
    </w:p>
    <w:p w14:paraId="7033550D" w14:textId="25B8CD43" w:rsidR="009E4757" w:rsidRPr="005F0AA8" w:rsidRDefault="009E4757" w:rsidP="0072458A">
      <w:pPr>
        <w:pStyle w:val="Akapitzlist"/>
        <w:numPr>
          <w:ilvl w:val="2"/>
          <w:numId w:val="26"/>
        </w:numPr>
        <w:jc w:val="both"/>
        <w:rPr>
          <w:rFonts w:cs="Times New Roman"/>
          <w:sz w:val="22"/>
          <w:szCs w:val="22"/>
        </w:rPr>
      </w:pPr>
      <w:r w:rsidRPr="005F0AA8">
        <w:rPr>
          <w:rFonts w:cs="Times New Roman"/>
          <w:sz w:val="22"/>
          <w:szCs w:val="22"/>
        </w:rPr>
        <w:t>Możliwość integracji oferowanego system</w:t>
      </w:r>
      <w:r w:rsidR="00F610CD" w:rsidRPr="005F0AA8">
        <w:rPr>
          <w:rFonts w:cs="Times New Roman"/>
          <w:sz w:val="22"/>
          <w:szCs w:val="22"/>
        </w:rPr>
        <w:t>u</w:t>
      </w:r>
      <w:r w:rsidRPr="005F0AA8">
        <w:rPr>
          <w:rFonts w:cs="Times New Roman"/>
          <w:sz w:val="22"/>
          <w:szCs w:val="22"/>
        </w:rPr>
        <w:t xml:space="preserve"> z systemem do </w:t>
      </w:r>
      <w:proofErr w:type="spellStart"/>
      <w:r w:rsidRPr="005F0AA8">
        <w:rPr>
          <w:rFonts w:cs="Times New Roman"/>
          <w:sz w:val="22"/>
          <w:szCs w:val="22"/>
        </w:rPr>
        <w:t>barwień</w:t>
      </w:r>
      <w:proofErr w:type="spellEnd"/>
      <w:r w:rsidRPr="005F0AA8">
        <w:rPr>
          <w:rFonts w:cs="Times New Roman"/>
          <w:sz w:val="22"/>
          <w:szCs w:val="22"/>
        </w:rPr>
        <w:t xml:space="preserve"> histochemicznych</w:t>
      </w:r>
      <w:r w:rsidR="0072458A" w:rsidRPr="005F0AA8">
        <w:rPr>
          <w:rFonts w:cs="Times New Roman"/>
          <w:sz w:val="22"/>
          <w:szCs w:val="22"/>
        </w:rPr>
        <w:t xml:space="preserve"> - o</w:t>
      </w:r>
      <w:r w:rsidRPr="005F0AA8">
        <w:rPr>
          <w:rFonts w:cs="Times New Roman"/>
          <w:sz w:val="22"/>
          <w:szCs w:val="22"/>
        </w:rPr>
        <w:t>czekiwany zakres integracji:</w:t>
      </w:r>
    </w:p>
    <w:p w14:paraId="7C52C7C9" w14:textId="0CD9E1B6"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Integracja dwukierunkowa - każdy z systemów (system laboratoryjny oraz system barwienia) może zainicjować połączenie do drugiego systemu.</w:t>
      </w:r>
    </w:p>
    <w:p w14:paraId="0EC751CC" w14:textId="3FB1DDB8"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Patomorfolog w systemie laboratoryjnym zleca barwienie dodatkowe do konkretnego bloczka.</w:t>
      </w:r>
    </w:p>
    <w:p w14:paraId="0F99C89E" w14:textId="00769774"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System uniemożliwia zlecenie barwienia dodatkowego, gdy dla danego bloczka parafinowego zostało już wykonanie dane badanie dodatkowe (możliwość zlecenia takiego badania to uprzednim zatwierdzeniu ostrzeżenia o wykonanym badaniu przez uprawnionego użytkownika).</w:t>
      </w:r>
    </w:p>
    <w:p w14:paraId="19B21025" w14:textId="7A883983"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System wyświetla ostrzeżenie, gdy dla danego materiału (lub lokalizacji anatomicznej) wykonano takie barwienia dodatkowe, ale z innego bloczka parafinowego.</w:t>
      </w:r>
    </w:p>
    <w:p w14:paraId="5F221E80" w14:textId="4169855C"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Personel laboratorium tworzy szkiełko, drukuje je z systemu laboratoryjnego i umieszcza na nim skrawek tkankowy do barwienia.</w:t>
      </w:r>
    </w:p>
    <w:p w14:paraId="3AF90425" w14:textId="54CE9219"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 xml:space="preserve">Szkiełko zawiera kod kreskowy, unikatowy w obrębie całego laboratorium, stanowiący identyfikator preparatu. Kod kreskowy będzie wydrukowany w formacie 2D. </w:t>
      </w:r>
    </w:p>
    <w:p w14:paraId="7E20CBA4" w14:textId="1C00D196"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System laboratoryjny w momencie dodania preparatu wysyła do systemu barwienia zlecenie barwienia.</w:t>
      </w:r>
    </w:p>
    <w:p w14:paraId="4B31485D" w14:textId="34AE2E8F"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 xml:space="preserve">W przypadku anulowania zlecenia barwienia system laboratoryjny wyśle informację, że zlecenie jest anulowane. System barwienia wykreśli wtedy takie zlecenie barwienia z bazy lub je </w:t>
      </w:r>
      <w:proofErr w:type="spellStart"/>
      <w:r w:rsidR="009E4757" w:rsidRPr="005F0AA8">
        <w:rPr>
          <w:rFonts w:cs="Times New Roman"/>
          <w:sz w:val="22"/>
          <w:szCs w:val="22"/>
        </w:rPr>
        <w:t>zdezaktywuje</w:t>
      </w:r>
      <w:proofErr w:type="spellEnd"/>
      <w:r w:rsidR="009E4757" w:rsidRPr="005F0AA8">
        <w:rPr>
          <w:rFonts w:cs="Times New Roman"/>
          <w:sz w:val="22"/>
          <w:szCs w:val="22"/>
        </w:rPr>
        <w:t>/ukryje.</w:t>
      </w:r>
    </w:p>
    <w:p w14:paraId="3CB2064E" w14:textId="0F7A9037"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lastRenderedPageBreak/>
        <w:t xml:space="preserve"> </w:t>
      </w:r>
      <w:r w:rsidR="009E4757" w:rsidRPr="005F0AA8">
        <w:rPr>
          <w:rFonts w:cs="Times New Roman"/>
          <w:sz w:val="22"/>
          <w:szCs w:val="22"/>
        </w:rPr>
        <w:t>Zlecenie barwienia zawiera dane: imię i nazwisko pacjenta, PESEL, identyfikator pacjenta z systemu szpitalnego (HIS), numer przypadku, numer bloczka parafinowego, typ barwienia ze słownika systemu barwienia, kod kreskowy z preparatu.</w:t>
      </w:r>
    </w:p>
    <w:p w14:paraId="14A8B51B" w14:textId="0347CF73"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Jeżeli system barwienia będzie wspierać określanie stref zakraplania odczynnika, to w systemie laboratoryjnym powinna być funkcja wyboru strefy zakraplania.</w:t>
      </w:r>
    </w:p>
    <w:p w14:paraId="27388D53" w14:textId="0FC5DD92"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System barwienia zapisuje zlecenie barwienia do swojej bazy danych i z chwilą umieszczenia szkiełka w maszynie barwiącej, na podstawie kodu kreskowego i danych zlecenia określi ona typ barwienia i je wykona.</w:t>
      </w:r>
    </w:p>
    <w:p w14:paraId="3F926BB0" w14:textId="2D5DB409"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System barwienia po zakończeniu barwienia wysyła do systemu laboratoryjnego informację ze statusem zakończenia barwienia, aby poinformować patomorfologa, że preparat jest już na ukończeniu.</w:t>
      </w:r>
    </w:p>
    <w:p w14:paraId="6F3A242A" w14:textId="2E77FA4D" w:rsidR="009E4757"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 xml:space="preserve">Wykonawca jest zobowiązany do uzgodnienia słowników </w:t>
      </w:r>
      <w:proofErr w:type="spellStart"/>
      <w:r w:rsidR="009E4757" w:rsidRPr="005F0AA8">
        <w:rPr>
          <w:rFonts w:cs="Times New Roman"/>
          <w:sz w:val="22"/>
          <w:szCs w:val="22"/>
        </w:rPr>
        <w:t>barwień</w:t>
      </w:r>
      <w:proofErr w:type="spellEnd"/>
      <w:r w:rsidR="009E4757" w:rsidRPr="005F0AA8">
        <w:rPr>
          <w:rFonts w:cs="Times New Roman"/>
          <w:sz w:val="22"/>
          <w:szCs w:val="22"/>
        </w:rPr>
        <w:t xml:space="preserve"> z dostawcą systemu barwienia.</w:t>
      </w:r>
    </w:p>
    <w:p w14:paraId="1E083010" w14:textId="49B256C9" w:rsidR="00AE0A9D" w:rsidRPr="005F0AA8" w:rsidRDefault="0072458A" w:rsidP="0072458A">
      <w:pPr>
        <w:pStyle w:val="Akapitzlist"/>
        <w:numPr>
          <w:ilvl w:val="3"/>
          <w:numId w:val="26"/>
        </w:numPr>
        <w:jc w:val="both"/>
        <w:rPr>
          <w:rFonts w:cs="Times New Roman"/>
          <w:sz w:val="22"/>
          <w:szCs w:val="22"/>
        </w:rPr>
      </w:pPr>
      <w:r w:rsidRPr="005F0AA8">
        <w:rPr>
          <w:rFonts w:cs="Times New Roman"/>
          <w:sz w:val="22"/>
          <w:szCs w:val="22"/>
        </w:rPr>
        <w:t xml:space="preserve"> </w:t>
      </w:r>
      <w:r w:rsidR="009E4757" w:rsidRPr="005F0AA8">
        <w:rPr>
          <w:rFonts w:cs="Times New Roman"/>
          <w:sz w:val="22"/>
          <w:szCs w:val="22"/>
        </w:rPr>
        <w:t>Niedopuszczalne jest wielokrotne oznakowanie szkiełka różnymi kodami kreskowymi w trakcie procesu przygotowywania i barwienia.</w:t>
      </w:r>
    </w:p>
    <w:p w14:paraId="0304B6DB" w14:textId="14CFFEA5" w:rsidR="008001EE" w:rsidRPr="005F0AA8" w:rsidRDefault="009E4757" w:rsidP="008001EE">
      <w:pPr>
        <w:pStyle w:val="Akapitzlist"/>
        <w:numPr>
          <w:ilvl w:val="1"/>
          <w:numId w:val="13"/>
        </w:numPr>
        <w:ind w:left="567"/>
        <w:rPr>
          <w:rFonts w:cs="Times New Roman"/>
          <w:sz w:val="22"/>
          <w:szCs w:val="22"/>
        </w:rPr>
      </w:pPr>
      <w:r w:rsidRPr="005F0AA8">
        <w:rPr>
          <w:rFonts w:cs="Times New Roman"/>
          <w:sz w:val="22"/>
          <w:szCs w:val="22"/>
        </w:rPr>
        <w:t>Współpraca z procesorami tkankowymi</w:t>
      </w:r>
    </w:p>
    <w:p w14:paraId="22A3E993" w14:textId="05446E31" w:rsidR="008001EE" w:rsidRPr="005F0AA8" w:rsidRDefault="008001EE" w:rsidP="008001EE">
      <w:pPr>
        <w:pStyle w:val="Akapitzlist"/>
        <w:numPr>
          <w:ilvl w:val="2"/>
          <w:numId w:val="27"/>
        </w:numPr>
        <w:ind w:left="1134"/>
        <w:jc w:val="both"/>
        <w:rPr>
          <w:rFonts w:cs="Times New Roman"/>
          <w:sz w:val="22"/>
          <w:szCs w:val="22"/>
        </w:rPr>
      </w:pPr>
      <w:r w:rsidRPr="005F0AA8">
        <w:rPr>
          <w:rFonts w:cs="Times New Roman"/>
          <w:sz w:val="22"/>
          <w:szCs w:val="22"/>
        </w:rPr>
        <w:t>W ramach wdrożenia Wykonawca dostarczy funkcjonalności opisane w pkt. 11.5.2-11.5.5. Funkcjonalności opisane w pkt. 11.5.6-11.5.9 muszą być możliwe do wdrożenia w ramach odrębnego zamówienia w czasie trwania gwarancji, w terminie nie dłuższym niż 30 dni od daty zamówienia.</w:t>
      </w:r>
    </w:p>
    <w:p w14:paraId="4BF4D0DB" w14:textId="55A7D504" w:rsidR="009E4757" w:rsidRPr="005F0AA8" w:rsidRDefault="009E4757" w:rsidP="0072458A">
      <w:pPr>
        <w:pStyle w:val="Akapitzlist"/>
        <w:numPr>
          <w:ilvl w:val="2"/>
          <w:numId w:val="27"/>
        </w:numPr>
        <w:ind w:left="1134"/>
        <w:jc w:val="both"/>
        <w:rPr>
          <w:rFonts w:cs="Times New Roman"/>
          <w:sz w:val="22"/>
          <w:szCs w:val="22"/>
        </w:rPr>
      </w:pPr>
      <w:r w:rsidRPr="005F0AA8">
        <w:rPr>
          <w:rFonts w:cs="Times New Roman"/>
          <w:sz w:val="22"/>
          <w:szCs w:val="22"/>
        </w:rPr>
        <w:t>Interfejs użytkownika prezentujący stan procesorów tkankowych - w szczególności stan pracy procesora, zawartość, czas pracy programu procesora, informacja o przekroczeniu lub nieosiągnięciu planowanego czasu pracy, informacja o alarmach (i ich poziomach istotności).</w:t>
      </w:r>
    </w:p>
    <w:p w14:paraId="09FD3329" w14:textId="39339A06" w:rsidR="009E4757" w:rsidRPr="005F0AA8" w:rsidRDefault="009E4757" w:rsidP="0072458A">
      <w:pPr>
        <w:pStyle w:val="Akapitzlist"/>
        <w:numPr>
          <w:ilvl w:val="2"/>
          <w:numId w:val="27"/>
        </w:numPr>
        <w:ind w:left="1134"/>
        <w:jc w:val="both"/>
        <w:rPr>
          <w:rFonts w:cs="Times New Roman"/>
          <w:sz w:val="22"/>
          <w:szCs w:val="22"/>
        </w:rPr>
      </w:pPr>
      <w:r w:rsidRPr="005F0AA8">
        <w:rPr>
          <w:rFonts w:cs="Times New Roman"/>
          <w:sz w:val="22"/>
          <w:szCs w:val="22"/>
        </w:rPr>
        <w:t>Możliwość przypisania kasetki histopatologicznej do koszyka procesora tkankowego.</w:t>
      </w:r>
    </w:p>
    <w:p w14:paraId="51A057F4" w14:textId="70100D9E" w:rsidR="009E4757" w:rsidRPr="005F0AA8" w:rsidRDefault="009E4757" w:rsidP="0072458A">
      <w:pPr>
        <w:pStyle w:val="Akapitzlist"/>
        <w:numPr>
          <w:ilvl w:val="2"/>
          <w:numId w:val="27"/>
        </w:numPr>
        <w:ind w:left="1134"/>
        <w:jc w:val="both"/>
        <w:rPr>
          <w:rFonts w:cs="Times New Roman"/>
          <w:sz w:val="22"/>
          <w:szCs w:val="22"/>
        </w:rPr>
      </w:pPr>
      <w:r w:rsidRPr="005F0AA8">
        <w:rPr>
          <w:rFonts w:cs="Times New Roman"/>
          <w:sz w:val="22"/>
          <w:szCs w:val="22"/>
        </w:rPr>
        <w:t>Możliwość przypisania koszyka procesora tkankowego do procesora tkankowego (wsad materiału do procesora) i typu programu procesora.</w:t>
      </w:r>
    </w:p>
    <w:p w14:paraId="0F5AFDFD" w14:textId="503B081C" w:rsidR="009E4757" w:rsidRPr="005F0AA8" w:rsidRDefault="009E4757" w:rsidP="0072458A">
      <w:pPr>
        <w:pStyle w:val="Akapitzlist"/>
        <w:numPr>
          <w:ilvl w:val="2"/>
          <w:numId w:val="27"/>
        </w:numPr>
        <w:ind w:left="1134"/>
        <w:jc w:val="both"/>
        <w:rPr>
          <w:rFonts w:cs="Times New Roman"/>
          <w:sz w:val="22"/>
          <w:szCs w:val="22"/>
        </w:rPr>
      </w:pPr>
      <w:r w:rsidRPr="005F0AA8">
        <w:rPr>
          <w:rFonts w:cs="Times New Roman"/>
          <w:sz w:val="22"/>
          <w:szCs w:val="22"/>
        </w:rPr>
        <w:t>Możliwość ręcznego hurtowego dodania zdarzenia kontroli jakości wraz z opisem do wszystkich kasetek znajdujących się w procesorze.</w:t>
      </w:r>
    </w:p>
    <w:p w14:paraId="30CE9E4A" w14:textId="6BB0C0C1" w:rsidR="009E4757" w:rsidRPr="005F0AA8" w:rsidRDefault="009E4757" w:rsidP="0072458A">
      <w:pPr>
        <w:pStyle w:val="Akapitzlist"/>
        <w:numPr>
          <w:ilvl w:val="2"/>
          <w:numId w:val="27"/>
        </w:numPr>
        <w:ind w:left="1134"/>
        <w:jc w:val="both"/>
        <w:rPr>
          <w:rFonts w:cs="Times New Roman"/>
          <w:sz w:val="22"/>
          <w:szCs w:val="22"/>
        </w:rPr>
      </w:pPr>
      <w:r w:rsidRPr="005F0AA8">
        <w:rPr>
          <w:rFonts w:cs="Times New Roman"/>
          <w:sz w:val="22"/>
          <w:szCs w:val="22"/>
        </w:rPr>
        <w:t>Współpraca z procesorami tkankowymi wraz z integracją z funkcjonalnością śledzenia próbki w oferowanym systemie. System musi odnotowywać, w którym koszyku i procesorze kasetka była procesowana, kiedy i przez kogo oraz jakie wystąpiły ew. błędy kontroli jakości.</w:t>
      </w:r>
    </w:p>
    <w:p w14:paraId="019B4C63" w14:textId="19B06BBA" w:rsidR="009E4757" w:rsidRPr="005F0AA8" w:rsidRDefault="009E4757" w:rsidP="0072458A">
      <w:pPr>
        <w:pStyle w:val="Akapitzlist"/>
        <w:numPr>
          <w:ilvl w:val="2"/>
          <w:numId w:val="27"/>
        </w:numPr>
        <w:ind w:left="1134"/>
        <w:jc w:val="both"/>
        <w:rPr>
          <w:rFonts w:cs="Times New Roman"/>
          <w:sz w:val="22"/>
          <w:szCs w:val="22"/>
        </w:rPr>
      </w:pPr>
      <w:r w:rsidRPr="005F0AA8">
        <w:rPr>
          <w:rFonts w:cs="Times New Roman"/>
          <w:sz w:val="22"/>
          <w:szCs w:val="22"/>
        </w:rPr>
        <w:t>Interfejs integracyjny z procesorami umożliwiający automatyczne (tj. niewymagające interakcji ze strony użytkownika) określenie stanu uruchomienia procesora oraz występujących alarmów. Informacje odczytane z procesorów powinny być prezentowane w oferowanym Systemie.</w:t>
      </w:r>
    </w:p>
    <w:p w14:paraId="3DCE1ABA" w14:textId="3886F411" w:rsidR="009E4757" w:rsidRPr="005F0AA8" w:rsidRDefault="009E4757" w:rsidP="0072458A">
      <w:pPr>
        <w:pStyle w:val="Akapitzlist"/>
        <w:numPr>
          <w:ilvl w:val="2"/>
          <w:numId w:val="27"/>
        </w:numPr>
        <w:ind w:left="1134"/>
        <w:jc w:val="both"/>
        <w:rPr>
          <w:rFonts w:cs="Times New Roman"/>
          <w:sz w:val="22"/>
          <w:szCs w:val="22"/>
        </w:rPr>
      </w:pPr>
      <w:r w:rsidRPr="005F0AA8">
        <w:rPr>
          <w:rFonts w:cs="Times New Roman"/>
          <w:sz w:val="22"/>
          <w:szCs w:val="22"/>
        </w:rPr>
        <w:t>Błędy czasu pracy procesora oraz alarmy krytyczne powinny być prezentowane w kontekście kasetki histopatologicznej, która była częścią danego procesu.</w:t>
      </w:r>
    </w:p>
    <w:p w14:paraId="26E42438" w14:textId="3D3A0F39" w:rsidR="009E4757" w:rsidRPr="005F0AA8" w:rsidRDefault="009E4757" w:rsidP="0072458A">
      <w:pPr>
        <w:pStyle w:val="Akapitzlist"/>
        <w:numPr>
          <w:ilvl w:val="2"/>
          <w:numId w:val="27"/>
        </w:numPr>
        <w:ind w:left="1134"/>
        <w:jc w:val="both"/>
        <w:rPr>
          <w:rFonts w:cs="Times New Roman"/>
          <w:sz w:val="22"/>
          <w:szCs w:val="22"/>
        </w:rPr>
      </w:pPr>
      <w:r w:rsidRPr="005F0AA8">
        <w:rPr>
          <w:rFonts w:cs="Times New Roman"/>
          <w:sz w:val="22"/>
          <w:szCs w:val="22"/>
        </w:rPr>
        <w:t xml:space="preserve">Możliwość automatycznego wysłania wiadomości SMS oraz wykonania głosowego połączenia telefonicznego na określone numery w przypadku wystąpienia alarmu krytycznego procesora odczytywanego z portu RS232 procesora oraz styków </w:t>
      </w:r>
      <w:proofErr w:type="spellStart"/>
      <w:r w:rsidRPr="005F0AA8">
        <w:rPr>
          <w:rFonts w:cs="Times New Roman"/>
          <w:sz w:val="22"/>
          <w:szCs w:val="22"/>
        </w:rPr>
        <w:t>bezpotencjałowych</w:t>
      </w:r>
      <w:proofErr w:type="spellEnd"/>
      <w:r w:rsidRPr="005F0AA8">
        <w:rPr>
          <w:rFonts w:cs="Times New Roman"/>
          <w:sz w:val="22"/>
          <w:szCs w:val="22"/>
        </w:rPr>
        <w:t>. Kartę SIM do wykonywania opisanych połączeń zapewnia Zamawiający.</w:t>
      </w:r>
    </w:p>
    <w:p w14:paraId="194E44B3" w14:textId="69E60D8F" w:rsidR="009E4757" w:rsidRPr="005F0AA8" w:rsidRDefault="009E4757" w:rsidP="0072458A">
      <w:pPr>
        <w:pStyle w:val="Akapitzlist"/>
        <w:numPr>
          <w:ilvl w:val="1"/>
          <w:numId w:val="13"/>
        </w:numPr>
        <w:ind w:left="567"/>
        <w:jc w:val="both"/>
        <w:rPr>
          <w:rFonts w:cs="Times New Roman"/>
          <w:sz w:val="22"/>
          <w:szCs w:val="22"/>
        </w:rPr>
      </w:pPr>
      <w:r w:rsidRPr="005F0AA8">
        <w:rPr>
          <w:rFonts w:cs="Times New Roman"/>
          <w:sz w:val="22"/>
          <w:szCs w:val="22"/>
        </w:rPr>
        <w:t xml:space="preserve">Współpraca z </w:t>
      </w:r>
      <w:proofErr w:type="spellStart"/>
      <w:r w:rsidRPr="005F0AA8">
        <w:rPr>
          <w:rFonts w:cs="Times New Roman"/>
          <w:sz w:val="22"/>
          <w:szCs w:val="22"/>
        </w:rPr>
        <w:t>pH</w:t>
      </w:r>
      <w:proofErr w:type="spellEnd"/>
      <w:r w:rsidRPr="005F0AA8">
        <w:rPr>
          <w:rFonts w:cs="Times New Roman"/>
          <w:sz w:val="22"/>
          <w:szCs w:val="22"/>
        </w:rPr>
        <w:t>-metrami</w:t>
      </w:r>
    </w:p>
    <w:p w14:paraId="6AAE3E06" w14:textId="608A35F3" w:rsidR="009E4757" w:rsidRPr="005F0AA8" w:rsidRDefault="009E4757" w:rsidP="0072458A">
      <w:pPr>
        <w:pStyle w:val="Akapitzlist"/>
        <w:numPr>
          <w:ilvl w:val="2"/>
          <w:numId w:val="13"/>
        </w:numPr>
        <w:ind w:left="993"/>
        <w:jc w:val="both"/>
        <w:rPr>
          <w:rFonts w:cs="Times New Roman"/>
          <w:sz w:val="22"/>
          <w:szCs w:val="22"/>
        </w:rPr>
      </w:pPr>
      <w:bookmarkStart w:id="17" w:name="_Ref177024841"/>
      <w:r w:rsidRPr="005F0AA8">
        <w:rPr>
          <w:rFonts w:cs="Times New Roman"/>
          <w:sz w:val="22"/>
          <w:szCs w:val="22"/>
        </w:rPr>
        <w:t xml:space="preserve">Współpraca z </w:t>
      </w:r>
      <w:proofErr w:type="spellStart"/>
      <w:r w:rsidRPr="005F0AA8">
        <w:rPr>
          <w:rFonts w:cs="Times New Roman"/>
          <w:sz w:val="22"/>
          <w:szCs w:val="22"/>
        </w:rPr>
        <w:t>pH</w:t>
      </w:r>
      <w:proofErr w:type="spellEnd"/>
      <w:r w:rsidRPr="005F0AA8">
        <w:rPr>
          <w:rFonts w:cs="Times New Roman"/>
          <w:sz w:val="22"/>
          <w:szCs w:val="22"/>
        </w:rPr>
        <w:t xml:space="preserve">-metrami do pomiaru </w:t>
      </w:r>
      <w:proofErr w:type="spellStart"/>
      <w:r w:rsidRPr="005F0AA8">
        <w:rPr>
          <w:rFonts w:cs="Times New Roman"/>
          <w:sz w:val="22"/>
          <w:szCs w:val="22"/>
        </w:rPr>
        <w:t>pH</w:t>
      </w:r>
      <w:proofErr w:type="spellEnd"/>
      <w:r w:rsidRPr="005F0AA8">
        <w:rPr>
          <w:rFonts w:cs="Times New Roman"/>
          <w:sz w:val="22"/>
          <w:szCs w:val="22"/>
        </w:rPr>
        <w:t xml:space="preserve"> substancji utrwalającej (np. formaliny) podłączanymi do stanowiska komputerowego z uruchomionym systemem.</w:t>
      </w:r>
      <w:bookmarkEnd w:id="17"/>
    </w:p>
    <w:p w14:paraId="398E5275" w14:textId="2E1BD7B7" w:rsidR="009E4757" w:rsidRPr="005F0AA8" w:rsidRDefault="009E4757" w:rsidP="0072458A">
      <w:pPr>
        <w:pStyle w:val="Akapitzlist"/>
        <w:numPr>
          <w:ilvl w:val="2"/>
          <w:numId w:val="13"/>
        </w:numPr>
        <w:ind w:left="993"/>
        <w:jc w:val="both"/>
        <w:rPr>
          <w:rFonts w:cs="Times New Roman"/>
          <w:sz w:val="22"/>
          <w:szCs w:val="22"/>
        </w:rPr>
      </w:pPr>
      <w:r w:rsidRPr="005F0AA8">
        <w:rPr>
          <w:rFonts w:cs="Times New Roman"/>
          <w:sz w:val="22"/>
          <w:szCs w:val="22"/>
        </w:rPr>
        <w:lastRenderedPageBreak/>
        <w:t xml:space="preserve">Możliwość zdefiniowania częstotliwości losowania do pomiaru </w:t>
      </w:r>
      <w:proofErr w:type="spellStart"/>
      <w:r w:rsidRPr="005F0AA8">
        <w:rPr>
          <w:rFonts w:cs="Times New Roman"/>
          <w:sz w:val="22"/>
          <w:szCs w:val="22"/>
        </w:rPr>
        <w:t>pH</w:t>
      </w:r>
      <w:proofErr w:type="spellEnd"/>
      <w:r w:rsidRPr="005F0AA8">
        <w:rPr>
          <w:rFonts w:cs="Times New Roman"/>
          <w:sz w:val="22"/>
          <w:szCs w:val="22"/>
        </w:rPr>
        <w:t xml:space="preserve"> zdefiniowanych typów materiałów i substancji utrwalających, a także dopuszczalnego prawidłowego zakresu pomiarowego z dokładnością do 2 miejsc po przecinku.</w:t>
      </w:r>
    </w:p>
    <w:p w14:paraId="23FE2A06" w14:textId="1EBB23BD" w:rsidR="009E4757" w:rsidRPr="005F0AA8" w:rsidRDefault="009E4757" w:rsidP="0072458A">
      <w:pPr>
        <w:pStyle w:val="Akapitzlist"/>
        <w:numPr>
          <w:ilvl w:val="2"/>
          <w:numId w:val="13"/>
        </w:numPr>
        <w:ind w:left="993"/>
        <w:jc w:val="both"/>
        <w:rPr>
          <w:rFonts w:cs="Times New Roman"/>
          <w:sz w:val="22"/>
          <w:szCs w:val="22"/>
        </w:rPr>
      </w:pPr>
      <w:bookmarkStart w:id="18" w:name="_Ref177024857"/>
      <w:r w:rsidRPr="005F0AA8">
        <w:rPr>
          <w:rFonts w:cs="Times New Roman"/>
          <w:sz w:val="22"/>
          <w:szCs w:val="22"/>
        </w:rPr>
        <w:t xml:space="preserve">System musi zapobiegać podjęcia dalszych czynności na materiale (np. wykrawania materiału) do momentu uzyskania pomiaru </w:t>
      </w:r>
      <w:proofErr w:type="spellStart"/>
      <w:r w:rsidRPr="005F0AA8">
        <w:rPr>
          <w:rFonts w:cs="Times New Roman"/>
          <w:sz w:val="22"/>
          <w:szCs w:val="22"/>
        </w:rPr>
        <w:t>pH</w:t>
      </w:r>
      <w:proofErr w:type="spellEnd"/>
      <w:r w:rsidRPr="005F0AA8">
        <w:rPr>
          <w:rFonts w:cs="Times New Roman"/>
          <w:sz w:val="22"/>
          <w:szCs w:val="22"/>
        </w:rPr>
        <w:t xml:space="preserve">, o ile materiał został wylosowany przez system do pomiaru </w:t>
      </w:r>
      <w:proofErr w:type="spellStart"/>
      <w:r w:rsidRPr="005F0AA8">
        <w:rPr>
          <w:rFonts w:cs="Times New Roman"/>
          <w:sz w:val="22"/>
          <w:szCs w:val="22"/>
        </w:rPr>
        <w:t>pH</w:t>
      </w:r>
      <w:proofErr w:type="spellEnd"/>
      <w:r w:rsidRPr="005F0AA8">
        <w:rPr>
          <w:rFonts w:cs="Times New Roman"/>
          <w:sz w:val="22"/>
          <w:szCs w:val="22"/>
        </w:rPr>
        <w:t>.</w:t>
      </w:r>
      <w:bookmarkEnd w:id="18"/>
    </w:p>
    <w:p w14:paraId="689EE1A6" w14:textId="3F2A40C0" w:rsidR="009E4757" w:rsidRPr="005F0AA8" w:rsidRDefault="009E4757" w:rsidP="0072458A">
      <w:pPr>
        <w:pStyle w:val="Akapitzlist"/>
        <w:numPr>
          <w:ilvl w:val="2"/>
          <w:numId w:val="13"/>
        </w:numPr>
        <w:ind w:left="993"/>
        <w:jc w:val="both"/>
        <w:rPr>
          <w:rFonts w:cs="Times New Roman"/>
          <w:sz w:val="22"/>
          <w:szCs w:val="22"/>
        </w:rPr>
      </w:pPr>
      <w:bookmarkStart w:id="19" w:name="_Ref177024869"/>
      <w:r w:rsidRPr="005F0AA8">
        <w:rPr>
          <w:rFonts w:cs="Times New Roman"/>
          <w:sz w:val="22"/>
          <w:szCs w:val="22"/>
        </w:rPr>
        <w:t>Automatyczne pobieranie wyniku pomiaru z urządzenia z dokładnością do 2 miejsc po przecinku, w momencie wykonywania pomiaru i zapis jego wartości w kontekście materiału przy użyciu dedykowanej funkcji stanowiskowej oraz w formatce ekranowej związanej z edycją materiału.</w:t>
      </w:r>
      <w:bookmarkEnd w:id="19"/>
    </w:p>
    <w:p w14:paraId="3243835C" w14:textId="10EBA262" w:rsidR="009E4757" w:rsidRPr="005F0AA8" w:rsidRDefault="009E4757" w:rsidP="0072458A">
      <w:pPr>
        <w:pStyle w:val="Akapitzlist"/>
        <w:numPr>
          <w:ilvl w:val="2"/>
          <w:numId w:val="13"/>
        </w:numPr>
        <w:ind w:left="993"/>
        <w:jc w:val="both"/>
        <w:rPr>
          <w:rFonts w:cs="Times New Roman"/>
          <w:sz w:val="22"/>
          <w:szCs w:val="22"/>
        </w:rPr>
      </w:pPr>
      <w:r w:rsidRPr="005F0AA8">
        <w:rPr>
          <w:rFonts w:cs="Times New Roman"/>
          <w:sz w:val="22"/>
          <w:szCs w:val="22"/>
        </w:rPr>
        <w:t xml:space="preserve">Automatyczne dodanie zdarzenia kontroli jakości w przypadku, gdy zmierzona wartość </w:t>
      </w:r>
      <w:proofErr w:type="spellStart"/>
      <w:r w:rsidRPr="005F0AA8">
        <w:rPr>
          <w:rFonts w:cs="Times New Roman"/>
          <w:sz w:val="22"/>
          <w:szCs w:val="22"/>
        </w:rPr>
        <w:t>pH</w:t>
      </w:r>
      <w:proofErr w:type="spellEnd"/>
      <w:r w:rsidRPr="005F0AA8">
        <w:rPr>
          <w:rFonts w:cs="Times New Roman"/>
          <w:sz w:val="22"/>
          <w:szCs w:val="22"/>
        </w:rPr>
        <w:t xml:space="preserve"> wykracza poza zdefiniowany dla danego typu materiału prawidłowy zakres.</w:t>
      </w:r>
    </w:p>
    <w:p w14:paraId="29F8CECB" w14:textId="16C202E0" w:rsidR="0024684D" w:rsidRPr="005F0AA8" w:rsidRDefault="009E4757" w:rsidP="00721F4D">
      <w:pPr>
        <w:pStyle w:val="Akapitzlist"/>
        <w:numPr>
          <w:ilvl w:val="2"/>
          <w:numId w:val="13"/>
        </w:numPr>
        <w:ind w:left="993"/>
        <w:jc w:val="both"/>
        <w:rPr>
          <w:rFonts w:cs="Times New Roman"/>
          <w:sz w:val="22"/>
          <w:szCs w:val="22"/>
        </w:rPr>
      </w:pPr>
      <w:bookmarkStart w:id="20" w:name="_Ref177024880"/>
      <w:r w:rsidRPr="005F0AA8">
        <w:rPr>
          <w:rFonts w:cs="Times New Roman"/>
          <w:sz w:val="22"/>
          <w:szCs w:val="22"/>
        </w:rPr>
        <w:t xml:space="preserve">Automatyczne dodanie informacyjnego zdarzenia kontroli jakości w przypadku, gdy zmierzona wartość </w:t>
      </w:r>
      <w:proofErr w:type="spellStart"/>
      <w:r w:rsidRPr="005F0AA8">
        <w:rPr>
          <w:rFonts w:cs="Times New Roman"/>
          <w:sz w:val="22"/>
          <w:szCs w:val="22"/>
        </w:rPr>
        <w:t>pH</w:t>
      </w:r>
      <w:proofErr w:type="spellEnd"/>
      <w:r w:rsidRPr="005F0AA8">
        <w:rPr>
          <w:rFonts w:cs="Times New Roman"/>
          <w:sz w:val="22"/>
          <w:szCs w:val="22"/>
        </w:rPr>
        <w:t xml:space="preserve"> mieści się w zdefiniowanym dla danego typu materiału prawidłowym zakresie.</w:t>
      </w:r>
      <w:bookmarkEnd w:id="20"/>
    </w:p>
    <w:p w14:paraId="4EB6D518" w14:textId="77881048" w:rsidR="00721F4D" w:rsidRPr="005F0AA8" w:rsidRDefault="00721F4D" w:rsidP="00721F4D">
      <w:pPr>
        <w:pStyle w:val="Akapitzlist"/>
        <w:numPr>
          <w:ilvl w:val="2"/>
          <w:numId w:val="13"/>
        </w:numPr>
        <w:ind w:left="993"/>
        <w:jc w:val="both"/>
        <w:rPr>
          <w:rFonts w:cs="Times New Roman"/>
          <w:sz w:val="22"/>
          <w:szCs w:val="22"/>
        </w:rPr>
      </w:pPr>
      <w:r w:rsidRPr="005F0AA8">
        <w:rPr>
          <w:rFonts w:cs="Times New Roman"/>
          <w:sz w:val="22"/>
          <w:szCs w:val="22"/>
        </w:rPr>
        <w:t xml:space="preserve">W ramach wdrożenia Wykonawca wykona integrację z następującym </w:t>
      </w:r>
      <w:proofErr w:type="spellStart"/>
      <w:r w:rsidRPr="005F0AA8">
        <w:rPr>
          <w:rFonts w:cs="Times New Roman"/>
          <w:sz w:val="22"/>
          <w:szCs w:val="22"/>
        </w:rPr>
        <w:t>pH</w:t>
      </w:r>
      <w:proofErr w:type="spellEnd"/>
      <w:r w:rsidRPr="005F0AA8">
        <w:rPr>
          <w:rFonts w:cs="Times New Roman"/>
          <w:sz w:val="22"/>
          <w:szCs w:val="22"/>
        </w:rPr>
        <w:t xml:space="preserve">-metrem będącym w posiadaniu Zamawiającego: </w:t>
      </w:r>
      <w:proofErr w:type="spellStart"/>
      <w:r w:rsidRPr="005F0AA8">
        <w:rPr>
          <w:rFonts w:cs="Times New Roman"/>
          <w:sz w:val="22"/>
          <w:szCs w:val="22"/>
        </w:rPr>
        <w:t>Mettler</w:t>
      </w:r>
      <w:proofErr w:type="spellEnd"/>
      <w:r w:rsidRPr="005F0AA8">
        <w:rPr>
          <w:rFonts w:cs="Times New Roman"/>
          <w:sz w:val="22"/>
          <w:szCs w:val="22"/>
        </w:rPr>
        <w:t xml:space="preserve"> Toledo </w:t>
      </w:r>
      <w:proofErr w:type="spellStart"/>
      <w:r w:rsidRPr="005F0AA8">
        <w:rPr>
          <w:rFonts w:cs="Times New Roman"/>
          <w:sz w:val="22"/>
          <w:szCs w:val="22"/>
        </w:rPr>
        <w:t>FiveEasy</w:t>
      </w:r>
      <w:proofErr w:type="spellEnd"/>
      <w:r w:rsidRPr="005F0AA8">
        <w:rPr>
          <w:rFonts w:cs="Times New Roman"/>
          <w:sz w:val="22"/>
          <w:szCs w:val="22"/>
        </w:rPr>
        <w:t xml:space="preserve"> PLUS FP20</w:t>
      </w:r>
      <w:r w:rsidR="008C1A6E" w:rsidRPr="005F0AA8">
        <w:rPr>
          <w:rFonts w:cs="Times New Roman"/>
          <w:sz w:val="22"/>
          <w:szCs w:val="22"/>
        </w:rPr>
        <w:t xml:space="preserve"> Standard Kit.</w:t>
      </w:r>
      <w:bookmarkEnd w:id="0"/>
    </w:p>
    <w:sectPr w:rsidR="00721F4D" w:rsidRPr="005F0AA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F4C65" w14:textId="77777777" w:rsidR="00DB6C46" w:rsidRDefault="00DB6C46" w:rsidP="00344018">
      <w:pPr>
        <w:spacing w:after="0" w:line="240" w:lineRule="auto"/>
      </w:pPr>
      <w:r>
        <w:separator/>
      </w:r>
    </w:p>
  </w:endnote>
  <w:endnote w:type="continuationSeparator" w:id="0">
    <w:p w14:paraId="26366AF8" w14:textId="77777777" w:rsidR="00DB6C46" w:rsidRDefault="00DB6C46" w:rsidP="00344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768700"/>
      <w:docPartObj>
        <w:docPartGallery w:val="Page Numbers (Bottom of Page)"/>
        <w:docPartUnique/>
      </w:docPartObj>
    </w:sdtPr>
    <w:sdtEndPr/>
    <w:sdtContent>
      <w:sdt>
        <w:sdtPr>
          <w:id w:val="-1769616900"/>
          <w:docPartObj>
            <w:docPartGallery w:val="Page Numbers (Top of Page)"/>
            <w:docPartUnique/>
          </w:docPartObj>
        </w:sdtPr>
        <w:sdtEndPr/>
        <w:sdtContent>
          <w:p w14:paraId="6B85D2D8" w14:textId="42D6BCCF" w:rsidR="00D70A23" w:rsidRDefault="00D70A23">
            <w:pPr>
              <w:pStyle w:val="Stopka"/>
              <w:jc w:val="right"/>
            </w:pPr>
            <w:r>
              <w:t xml:space="preserve">Strona </w:t>
            </w:r>
            <w:r>
              <w:rPr>
                <w:b/>
                <w:bCs/>
              </w:rPr>
              <w:fldChar w:fldCharType="begin"/>
            </w:r>
            <w:r>
              <w:rPr>
                <w:b/>
                <w:bCs/>
              </w:rPr>
              <w:instrText>PAGE</w:instrText>
            </w:r>
            <w:r>
              <w:rPr>
                <w:b/>
                <w:bCs/>
              </w:rPr>
              <w:fldChar w:fldCharType="separate"/>
            </w:r>
            <w:r w:rsidR="005F0AA8">
              <w:rPr>
                <w:b/>
                <w:bCs/>
                <w:noProof/>
              </w:rPr>
              <w:t>22</w:t>
            </w:r>
            <w:r>
              <w:rPr>
                <w:b/>
                <w:bCs/>
              </w:rPr>
              <w:fldChar w:fldCharType="end"/>
            </w:r>
            <w:r>
              <w:t xml:space="preserve"> z </w:t>
            </w:r>
            <w:r>
              <w:rPr>
                <w:b/>
                <w:bCs/>
              </w:rPr>
              <w:fldChar w:fldCharType="begin"/>
            </w:r>
            <w:r>
              <w:rPr>
                <w:b/>
                <w:bCs/>
              </w:rPr>
              <w:instrText>NUMPAGES</w:instrText>
            </w:r>
            <w:r>
              <w:rPr>
                <w:b/>
                <w:bCs/>
              </w:rPr>
              <w:fldChar w:fldCharType="separate"/>
            </w:r>
            <w:r w:rsidR="005F0AA8">
              <w:rPr>
                <w:b/>
                <w:bCs/>
                <w:noProof/>
              </w:rPr>
              <w:t>27</w:t>
            </w:r>
            <w:r>
              <w:rPr>
                <w:b/>
                <w:bCs/>
              </w:rPr>
              <w:fldChar w:fldCharType="end"/>
            </w:r>
          </w:p>
        </w:sdtContent>
      </w:sdt>
    </w:sdtContent>
  </w:sdt>
  <w:p w14:paraId="4BFEEAE8" w14:textId="77777777" w:rsidR="00344018" w:rsidRDefault="0034401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245A6" w14:textId="77777777" w:rsidR="00DB6C46" w:rsidRDefault="00DB6C46" w:rsidP="00344018">
      <w:pPr>
        <w:spacing w:after="0" w:line="240" w:lineRule="auto"/>
      </w:pPr>
      <w:r>
        <w:separator/>
      </w:r>
    </w:p>
  </w:footnote>
  <w:footnote w:type="continuationSeparator" w:id="0">
    <w:p w14:paraId="0AF0CE4C" w14:textId="77777777" w:rsidR="00DB6C46" w:rsidRDefault="00DB6C46" w:rsidP="003440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80141"/>
    <w:multiLevelType w:val="hybridMultilevel"/>
    <w:tmpl w:val="763AEC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8D21AF"/>
    <w:multiLevelType w:val="multilevel"/>
    <w:tmpl w:val="5D34128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2484081"/>
    <w:multiLevelType w:val="hybridMultilevel"/>
    <w:tmpl w:val="97586F7A"/>
    <w:lvl w:ilvl="0" w:tplc="0415000F">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 w15:restartNumberingAfterBreak="0">
    <w:nsid w:val="05B824D2"/>
    <w:multiLevelType w:val="hybridMultilevel"/>
    <w:tmpl w:val="8926EE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8D3521"/>
    <w:multiLevelType w:val="hybridMultilevel"/>
    <w:tmpl w:val="6E92679A"/>
    <w:lvl w:ilvl="0" w:tplc="6C8230EA">
      <w:start w:val="1"/>
      <w:numFmt w:val="lowerLetter"/>
      <w:lvlText w:val="%1)"/>
      <w:lvlJc w:val="left"/>
      <w:pPr>
        <w:ind w:left="720" w:hanging="360"/>
      </w:pPr>
      <w:rPr>
        <w:rFonts w:hint="default"/>
      </w:rPr>
    </w:lvl>
    <w:lvl w:ilvl="1" w:tplc="4792126C">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102E5F"/>
    <w:multiLevelType w:val="hybridMultilevel"/>
    <w:tmpl w:val="6B9A5060"/>
    <w:lvl w:ilvl="0" w:tplc="3328F902">
      <w:start w:val="1"/>
      <w:numFmt w:val="bullet"/>
      <w:lvlText w:val=""/>
      <w:lvlJc w:val="center"/>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 w15:restartNumberingAfterBreak="0">
    <w:nsid w:val="0FB70652"/>
    <w:multiLevelType w:val="multilevel"/>
    <w:tmpl w:val="71FA243E"/>
    <w:styleLink w:val="Moduy"/>
    <w:lvl w:ilvl="0">
      <w:start w:val="1"/>
      <w:numFmt w:val="decimal"/>
      <w:lvlText w:val="%1."/>
      <w:lvlJc w:val="center"/>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1803D9"/>
    <w:multiLevelType w:val="multilevel"/>
    <w:tmpl w:val="6B028F80"/>
    <w:lvl w:ilvl="0">
      <w:start w:val="1"/>
      <w:numFmt w:val="decimal"/>
      <w:lvlText w:val="%1."/>
      <w:lvlJc w:val="left"/>
      <w:pPr>
        <w:ind w:left="360" w:hanging="360"/>
      </w:pPr>
      <w:rPr>
        <w:rFonts w:hint="default"/>
      </w:rPr>
    </w:lvl>
    <w:lvl w:ilvl="1">
      <w:start w:val="1"/>
      <w:numFmt w:val="decimal"/>
      <w:lvlText w:val="%1.%2."/>
      <w:lvlJc w:val="center"/>
      <w:pPr>
        <w:ind w:left="792" w:hanging="432"/>
      </w:pPr>
      <w:rPr>
        <w:rFonts w:hint="default"/>
      </w:rPr>
    </w:lvl>
    <w:lvl w:ilvl="2">
      <w:start w:val="1"/>
      <w:numFmt w:val="decimal"/>
      <w:lvlText w:val="%1.%2.%3."/>
      <w:lvlJc w:val="center"/>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EC22E2"/>
    <w:multiLevelType w:val="hybridMultilevel"/>
    <w:tmpl w:val="E5C44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B22778"/>
    <w:multiLevelType w:val="multilevel"/>
    <w:tmpl w:val="A34889CE"/>
    <w:lvl w:ilvl="0">
      <w:start w:val="1"/>
      <w:numFmt w:val="decimal"/>
      <w:lvlText w:val="%1."/>
      <w:lvlJc w:val="left"/>
      <w:pPr>
        <w:ind w:left="567" w:hanging="207"/>
      </w:pPr>
      <w:rPr>
        <w:rFonts w:hint="default"/>
        <w:b/>
        <w:bCs w:val="0"/>
      </w:rPr>
    </w:lvl>
    <w:lvl w:ilvl="1">
      <w:start w:val="1"/>
      <w:numFmt w:val="decimal"/>
      <w:isLgl/>
      <w:lvlText w:val="%1.%2."/>
      <w:lvlJc w:val="center"/>
      <w:pPr>
        <w:ind w:left="851" w:hanging="491"/>
      </w:pPr>
      <w:rPr>
        <w:rFonts w:hint="default"/>
      </w:rPr>
    </w:lvl>
    <w:lvl w:ilvl="2">
      <w:start w:val="1"/>
      <w:numFmt w:val="decimal"/>
      <w:isLgl/>
      <w:lvlText w:val="%1.%2.%3."/>
      <w:lvlJc w:val="left"/>
      <w:pPr>
        <w:ind w:left="1134" w:hanging="774"/>
      </w:pPr>
      <w:rPr>
        <w:rFonts w:hint="default"/>
      </w:rPr>
    </w:lvl>
    <w:lvl w:ilvl="3">
      <w:start w:val="1"/>
      <w:numFmt w:val="decimal"/>
      <w:isLgl/>
      <w:lvlText w:val="%1.%2.%3.%4."/>
      <w:lvlJc w:val="left"/>
      <w:pPr>
        <w:ind w:left="1418" w:hanging="1058"/>
      </w:pPr>
      <w:rPr>
        <w:rFonts w:hint="default"/>
      </w:rPr>
    </w:lvl>
    <w:lvl w:ilvl="4">
      <w:start w:val="1"/>
      <w:numFmt w:val="decimal"/>
      <w:isLgl/>
      <w:lvlText w:val="%1.%2.%3.%4.%5."/>
      <w:lvlJc w:val="left"/>
      <w:pPr>
        <w:ind w:left="1474" w:hanging="1114"/>
      </w:pPr>
      <w:rPr>
        <w:rFonts w:hint="default"/>
      </w:rPr>
    </w:lvl>
    <w:lvl w:ilvl="5">
      <w:start w:val="1"/>
      <w:numFmt w:val="decimal"/>
      <w:isLgl/>
      <w:lvlText w:val="%1.%2.%3.%4.%5.%6."/>
      <w:lvlJc w:val="left"/>
      <w:pPr>
        <w:ind w:left="1644" w:hanging="1284"/>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E105EF3"/>
    <w:multiLevelType w:val="multilevel"/>
    <w:tmpl w:val="C71C0CF8"/>
    <w:lvl w:ilvl="0">
      <w:start w:val="11"/>
      <w:numFmt w:val="decimal"/>
      <w:lvlText w:val="%1"/>
      <w:lvlJc w:val="left"/>
      <w:pPr>
        <w:ind w:left="585" w:hanging="585"/>
      </w:pPr>
      <w:rPr>
        <w:rFonts w:hint="default"/>
      </w:rPr>
    </w:lvl>
    <w:lvl w:ilvl="1">
      <w:start w:val="4"/>
      <w:numFmt w:val="decimal"/>
      <w:lvlText w:val="%1.%2"/>
      <w:lvlJc w:val="left"/>
      <w:pPr>
        <w:ind w:left="868" w:hanging="58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2F78437D"/>
    <w:multiLevelType w:val="multilevel"/>
    <w:tmpl w:val="71FA243E"/>
    <w:numStyleLink w:val="Moduy"/>
  </w:abstractNum>
  <w:abstractNum w:abstractNumId="12" w15:restartNumberingAfterBreak="0">
    <w:nsid w:val="31A96BDB"/>
    <w:multiLevelType w:val="hybridMultilevel"/>
    <w:tmpl w:val="E5302660"/>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3" w15:restartNumberingAfterBreak="0">
    <w:nsid w:val="38B77E4C"/>
    <w:multiLevelType w:val="multilevel"/>
    <w:tmpl w:val="A34889CE"/>
    <w:lvl w:ilvl="0">
      <w:start w:val="1"/>
      <w:numFmt w:val="decimal"/>
      <w:lvlText w:val="%1."/>
      <w:lvlJc w:val="left"/>
      <w:pPr>
        <w:ind w:left="567" w:hanging="207"/>
      </w:pPr>
      <w:rPr>
        <w:rFonts w:hint="default"/>
        <w:b/>
        <w:bCs w:val="0"/>
      </w:rPr>
    </w:lvl>
    <w:lvl w:ilvl="1">
      <w:start w:val="1"/>
      <w:numFmt w:val="decimal"/>
      <w:isLgl/>
      <w:lvlText w:val="%1.%2."/>
      <w:lvlJc w:val="center"/>
      <w:pPr>
        <w:ind w:left="851" w:hanging="491"/>
      </w:pPr>
      <w:rPr>
        <w:rFonts w:hint="default"/>
      </w:rPr>
    </w:lvl>
    <w:lvl w:ilvl="2">
      <w:start w:val="1"/>
      <w:numFmt w:val="decimal"/>
      <w:isLgl/>
      <w:lvlText w:val="%1.%2.%3."/>
      <w:lvlJc w:val="left"/>
      <w:pPr>
        <w:ind w:left="1134" w:hanging="774"/>
      </w:pPr>
      <w:rPr>
        <w:rFonts w:hint="default"/>
      </w:rPr>
    </w:lvl>
    <w:lvl w:ilvl="3">
      <w:start w:val="1"/>
      <w:numFmt w:val="decimal"/>
      <w:isLgl/>
      <w:lvlText w:val="%1.%2.%3.%4."/>
      <w:lvlJc w:val="left"/>
      <w:pPr>
        <w:ind w:left="1418" w:hanging="1058"/>
      </w:pPr>
      <w:rPr>
        <w:rFonts w:hint="default"/>
      </w:rPr>
    </w:lvl>
    <w:lvl w:ilvl="4">
      <w:start w:val="1"/>
      <w:numFmt w:val="decimal"/>
      <w:isLgl/>
      <w:lvlText w:val="%1.%2.%3.%4.%5."/>
      <w:lvlJc w:val="left"/>
      <w:pPr>
        <w:ind w:left="1474" w:hanging="1114"/>
      </w:pPr>
      <w:rPr>
        <w:rFonts w:hint="default"/>
      </w:rPr>
    </w:lvl>
    <w:lvl w:ilvl="5">
      <w:start w:val="1"/>
      <w:numFmt w:val="decimal"/>
      <w:isLgl/>
      <w:lvlText w:val="%1.%2.%3.%4.%5.%6."/>
      <w:lvlJc w:val="left"/>
      <w:pPr>
        <w:ind w:left="1644" w:hanging="1284"/>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ACE2065"/>
    <w:multiLevelType w:val="hybridMultilevel"/>
    <w:tmpl w:val="CBDC55D6"/>
    <w:lvl w:ilvl="0" w:tplc="6C8230EA">
      <w:start w:val="1"/>
      <w:numFmt w:val="lowerLetter"/>
      <w:lvlText w:val="%1)"/>
      <w:lvlJc w:val="left"/>
      <w:pPr>
        <w:ind w:left="720" w:hanging="360"/>
      </w:pPr>
      <w:rPr>
        <w:rFonts w:hint="default"/>
      </w:rPr>
    </w:lvl>
    <w:lvl w:ilvl="1" w:tplc="7980BE50">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FA42C5"/>
    <w:multiLevelType w:val="hybridMultilevel"/>
    <w:tmpl w:val="9F006D5E"/>
    <w:lvl w:ilvl="0" w:tplc="3328F902">
      <w:start w:val="1"/>
      <w:numFmt w:val="bullet"/>
      <w:lvlText w:val=""/>
      <w:lvlJc w:val="center"/>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3F724738"/>
    <w:multiLevelType w:val="hybridMultilevel"/>
    <w:tmpl w:val="F25AE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1343759"/>
    <w:multiLevelType w:val="multilevel"/>
    <w:tmpl w:val="9A287BF4"/>
    <w:lvl w:ilvl="0">
      <w:start w:val="11"/>
      <w:numFmt w:val="decimal"/>
      <w:lvlText w:val="%1"/>
      <w:lvlJc w:val="left"/>
      <w:pPr>
        <w:ind w:left="585" w:hanging="585"/>
      </w:pPr>
      <w:rPr>
        <w:rFonts w:hint="default"/>
      </w:rPr>
    </w:lvl>
    <w:lvl w:ilvl="1">
      <w:start w:val="5"/>
      <w:numFmt w:val="decimal"/>
      <w:lvlText w:val="%1.%2"/>
      <w:lvlJc w:val="left"/>
      <w:pPr>
        <w:ind w:left="940" w:hanging="585"/>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8" w15:restartNumberingAfterBreak="0">
    <w:nsid w:val="42545830"/>
    <w:multiLevelType w:val="hybridMultilevel"/>
    <w:tmpl w:val="0A56EB84"/>
    <w:lvl w:ilvl="0" w:tplc="D57CA5FA">
      <w:start w:val="2"/>
      <w:numFmt w:val="bullet"/>
      <w:lvlText w:val="•"/>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C80218B"/>
    <w:multiLevelType w:val="hybridMultilevel"/>
    <w:tmpl w:val="33CECA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4542F6"/>
    <w:multiLevelType w:val="hybridMultilevel"/>
    <w:tmpl w:val="4E30ED5C"/>
    <w:lvl w:ilvl="0" w:tplc="0415000F">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1" w15:restartNumberingAfterBreak="0">
    <w:nsid w:val="5C894C4D"/>
    <w:multiLevelType w:val="hybridMultilevel"/>
    <w:tmpl w:val="D18EB816"/>
    <w:lvl w:ilvl="0" w:tplc="7980BE50">
      <w:start w:val="1"/>
      <w:numFmt w:val="lowerLetter"/>
      <w:lvlText w:val="%1."/>
      <w:lvlJc w:val="left"/>
      <w:pPr>
        <w:ind w:left="257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5D9D2D18"/>
    <w:multiLevelType w:val="hybridMultilevel"/>
    <w:tmpl w:val="F0684DC8"/>
    <w:lvl w:ilvl="0" w:tplc="EBBC21DA">
      <w:start w:val="2"/>
      <w:numFmt w:val="bullet"/>
      <w:lvlText w:val="•"/>
      <w:lvlJc w:val="left"/>
      <w:pPr>
        <w:ind w:left="1068" w:hanging="708"/>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FE524C3"/>
    <w:multiLevelType w:val="hybridMultilevel"/>
    <w:tmpl w:val="BAF83C1C"/>
    <w:lvl w:ilvl="0" w:tplc="6C8230EA">
      <w:start w:val="1"/>
      <w:numFmt w:val="lowerLetter"/>
      <w:lvlText w:val="%1)"/>
      <w:lvlJc w:val="left"/>
      <w:pPr>
        <w:ind w:left="720" w:hanging="360"/>
      </w:pPr>
      <w:rPr>
        <w:rFonts w:hint="default"/>
        <w:color w:val="auto"/>
      </w:rPr>
    </w:lvl>
    <w:lvl w:ilvl="1" w:tplc="7206F2B2">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62275E9"/>
    <w:multiLevelType w:val="hybridMultilevel"/>
    <w:tmpl w:val="7C30B3A8"/>
    <w:lvl w:ilvl="0" w:tplc="6C8230EA">
      <w:start w:val="1"/>
      <w:numFmt w:val="lowerLetter"/>
      <w:lvlText w:val="%1)"/>
      <w:lvlJc w:val="left"/>
      <w:pPr>
        <w:ind w:left="720" w:hanging="360"/>
      </w:pPr>
      <w:rPr>
        <w:rFonts w:hint="default"/>
      </w:rPr>
    </w:lvl>
    <w:lvl w:ilvl="1" w:tplc="C42A2FA4">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66B570E"/>
    <w:multiLevelType w:val="multilevel"/>
    <w:tmpl w:val="BAC22E90"/>
    <w:lvl w:ilvl="0">
      <w:start w:val="1"/>
      <w:numFmt w:val="decimal"/>
      <w:lvlText w:val="%1."/>
      <w:lvlJc w:val="left"/>
      <w:pPr>
        <w:ind w:left="360" w:hanging="360"/>
      </w:pPr>
      <w:rPr>
        <w:rFonts w:hint="default"/>
        <w:b w:val="0"/>
        <w:bCs/>
      </w:rPr>
    </w:lvl>
    <w:lvl w:ilvl="1">
      <w:start w:val="1"/>
      <w:numFmt w:val="decimal"/>
      <w:lvlText w:val="%1.%2."/>
      <w:lvlJc w:val="left"/>
      <w:pPr>
        <w:ind w:left="907" w:hanging="547"/>
      </w:pPr>
      <w:rPr>
        <w:rFonts w:hint="default"/>
      </w:rPr>
    </w:lvl>
    <w:lvl w:ilvl="2">
      <w:start w:val="1"/>
      <w:numFmt w:val="decimal"/>
      <w:lvlText w:val="%1.%2.%3."/>
      <w:lvlJc w:val="left"/>
      <w:pPr>
        <w:ind w:left="1719" w:hanging="584"/>
      </w:pPr>
      <w:rPr>
        <w:rFonts w:hint="default"/>
        <w:i w:val="0"/>
        <w:iCs w:val="0"/>
      </w:rPr>
    </w:lvl>
    <w:lvl w:ilvl="3">
      <w:start w:val="1"/>
      <w:numFmt w:val="decimal"/>
      <w:lvlText w:val="%1.%2.%3.%4."/>
      <w:lvlJc w:val="left"/>
      <w:pPr>
        <w:ind w:left="1814" w:hanging="734"/>
      </w:pPr>
      <w:rPr>
        <w:rFonts w:hint="default"/>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B8A605C"/>
    <w:multiLevelType w:val="hybridMultilevel"/>
    <w:tmpl w:val="0B144B16"/>
    <w:lvl w:ilvl="0" w:tplc="5EC05A84">
      <w:numFmt w:val="bullet"/>
      <w:lvlText w:val="•"/>
      <w:lvlJc w:val="left"/>
      <w:pPr>
        <w:ind w:left="1068" w:hanging="708"/>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E2E7F57"/>
    <w:multiLevelType w:val="hybridMultilevel"/>
    <w:tmpl w:val="E07A2A72"/>
    <w:lvl w:ilvl="0" w:tplc="7206F2B2">
      <w:start w:val="1"/>
      <w:numFmt w:val="decimal"/>
      <w:lvlText w:val="%1."/>
      <w:lvlJc w:val="left"/>
      <w:pPr>
        <w:ind w:left="229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num w:numId="1">
    <w:abstractNumId w:val="8"/>
  </w:num>
  <w:num w:numId="2">
    <w:abstractNumId w:val="26"/>
  </w:num>
  <w:num w:numId="3">
    <w:abstractNumId w:val="3"/>
  </w:num>
  <w:num w:numId="4">
    <w:abstractNumId w:val="22"/>
  </w:num>
  <w:num w:numId="5">
    <w:abstractNumId w:val="19"/>
  </w:num>
  <w:num w:numId="6">
    <w:abstractNumId w:val="18"/>
  </w:num>
  <w:num w:numId="7">
    <w:abstractNumId w:val="16"/>
  </w:num>
  <w:num w:numId="8">
    <w:abstractNumId w:val="0"/>
  </w:num>
  <w:num w:numId="9">
    <w:abstractNumId w:val="24"/>
  </w:num>
  <w:num w:numId="10">
    <w:abstractNumId w:val="4"/>
  </w:num>
  <w:num w:numId="11">
    <w:abstractNumId w:val="14"/>
  </w:num>
  <w:num w:numId="12">
    <w:abstractNumId w:val="23"/>
  </w:num>
  <w:num w:numId="13">
    <w:abstractNumId w:val="25"/>
  </w:num>
  <w:num w:numId="14">
    <w:abstractNumId w:val="1"/>
  </w:num>
  <w:num w:numId="15">
    <w:abstractNumId w:val="6"/>
  </w:num>
  <w:num w:numId="16">
    <w:abstractNumId w:val="11"/>
  </w:num>
  <w:num w:numId="17">
    <w:abstractNumId w:val="15"/>
  </w:num>
  <w:num w:numId="18">
    <w:abstractNumId w:val="13"/>
  </w:num>
  <w:num w:numId="19">
    <w:abstractNumId w:val="9"/>
  </w:num>
  <w:num w:numId="20">
    <w:abstractNumId w:val="27"/>
  </w:num>
  <w:num w:numId="21">
    <w:abstractNumId w:val="21"/>
  </w:num>
  <w:num w:numId="22">
    <w:abstractNumId w:val="2"/>
  </w:num>
  <w:num w:numId="23">
    <w:abstractNumId w:val="20"/>
  </w:num>
  <w:num w:numId="24">
    <w:abstractNumId w:val="12"/>
  </w:num>
  <w:num w:numId="25">
    <w:abstractNumId w:val="5"/>
  </w:num>
  <w:num w:numId="26">
    <w:abstractNumId w:val="10"/>
  </w:num>
  <w:num w:numId="27">
    <w:abstractNumId w:val="17"/>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DE3"/>
    <w:rsid w:val="00004AF9"/>
    <w:rsid w:val="000316DB"/>
    <w:rsid w:val="00056920"/>
    <w:rsid w:val="000652A0"/>
    <w:rsid w:val="0006659A"/>
    <w:rsid w:val="00067608"/>
    <w:rsid w:val="00072899"/>
    <w:rsid w:val="00074332"/>
    <w:rsid w:val="00075918"/>
    <w:rsid w:val="0007755F"/>
    <w:rsid w:val="00090EC0"/>
    <w:rsid w:val="000912BD"/>
    <w:rsid w:val="00093001"/>
    <w:rsid w:val="000939B3"/>
    <w:rsid w:val="000C1B21"/>
    <w:rsid w:val="000F6C6B"/>
    <w:rsid w:val="000F7340"/>
    <w:rsid w:val="00102DB6"/>
    <w:rsid w:val="00117DC6"/>
    <w:rsid w:val="00122AD5"/>
    <w:rsid w:val="0012744C"/>
    <w:rsid w:val="00131E42"/>
    <w:rsid w:val="001335D1"/>
    <w:rsid w:val="00166CDF"/>
    <w:rsid w:val="00180768"/>
    <w:rsid w:val="001A17A0"/>
    <w:rsid w:val="001B79C1"/>
    <w:rsid w:val="001D2FF5"/>
    <w:rsid w:val="001F6254"/>
    <w:rsid w:val="00217761"/>
    <w:rsid w:val="00223572"/>
    <w:rsid w:val="00226A8A"/>
    <w:rsid w:val="002344EC"/>
    <w:rsid w:val="0024684D"/>
    <w:rsid w:val="00250B01"/>
    <w:rsid w:val="00270DE6"/>
    <w:rsid w:val="00295C07"/>
    <w:rsid w:val="002D067F"/>
    <w:rsid w:val="002D2DF1"/>
    <w:rsid w:val="002D30BD"/>
    <w:rsid w:val="002E3C3E"/>
    <w:rsid w:val="002F78BB"/>
    <w:rsid w:val="0030698B"/>
    <w:rsid w:val="00325DCB"/>
    <w:rsid w:val="00326D85"/>
    <w:rsid w:val="00336B24"/>
    <w:rsid w:val="00344018"/>
    <w:rsid w:val="003506A9"/>
    <w:rsid w:val="0036375E"/>
    <w:rsid w:val="003901DA"/>
    <w:rsid w:val="0039098F"/>
    <w:rsid w:val="003A1C72"/>
    <w:rsid w:val="003A4816"/>
    <w:rsid w:val="003B1D10"/>
    <w:rsid w:val="003E20E5"/>
    <w:rsid w:val="003F0831"/>
    <w:rsid w:val="0040454B"/>
    <w:rsid w:val="004121A9"/>
    <w:rsid w:val="00417F0E"/>
    <w:rsid w:val="0042636C"/>
    <w:rsid w:val="00434133"/>
    <w:rsid w:val="00464A81"/>
    <w:rsid w:val="00481F7B"/>
    <w:rsid w:val="00484ECD"/>
    <w:rsid w:val="004A14C2"/>
    <w:rsid w:val="004B45DF"/>
    <w:rsid w:val="004C7B51"/>
    <w:rsid w:val="00523F34"/>
    <w:rsid w:val="00570084"/>
    <w:rsid w:val="005C6493"/>
    <w:rsid w:val="005E7C0A"/>
    <w:rsid w:val="005F0AA8"/>
    <w:rsid w:val="005F7F3D"/>
    <w:rsid w:val="00614E7D"/>
    <w:rsid w:val="00622E3C"/>
    <w:rsid w:val="00640309"/>
    <w:rsid w:val="00651000"/>
    <w:rsid w:val="006863B5"/>
    <w:rsid w:val="006A7FEE"/>
    <w:rsid w:val="006F1FCD"/>
    <w:rsid w:val="006F37C1"/>
    <w:rsid w:val="00721F4D"/>
    <w:rsid w:val="0072458A"/>
    <w:rsid w:val="00761202"/>
    <w:rsid w:val="007642BB"/>
    <w:rsid w:val="00796052"/>
    <w:rsid w:val="007D0532"/>
    <w:rsid w:val="007E379F"/>
    <w:rsid w:val="007E6186"/>
    <w:rsid w:val="008001EE"/>
    <w:rsid w:val="00805DEB"/>
    <w:rsid w:val="008246F6"/>
    <w:rsid w:val="00857BCE"/>
    <w:rsid w:val="008856FB"/>
    <w:rsid w:val="008C1A6E"/>
    <w:rsid w:val="008D4E64"/>
    <w:rsid w:val="008D4FDE"/>
    <w:rsid w:val="008E1C5E"/>
    <w:rsid w:val="008E7EA4"/>
    <w:rsid w:val="008E7F60"/>
    <w:rsid w:val="0090055A"/>
    <w:rsid w:val="009052FE"/>
    <w:rsid w:val="00936E56"/>
    <w:rsid w:val="009414A0"/>
    <w:rsid w:val="00943A0F"/>
    <w:rsid w:val="00946B5F"/>
    <w:rsid w:val="00956AD5"/>
    <w:rsid w:val="009A6A8E"/>
    <w:rsid w:val="009B0E10"/>
    <w:rsid w:val="009B78E5"/>
    <w:rsid w:val="009D7F90"/>
    <w:rsid w:val="009E1EC0"/>
    <w:rsid w:val="009E4757"/>
    <w:rsid w:val="009F3E7C"/>
    <w:rsid w:val="00A3586B"/>
    <w:rsid w:val="00A60D60"/>
    <w:rsid w:val="00A73DD2"/>
    <w:rsid w:val="00A748E6"/>
    <w:rsid w:val="00A77686"/>
    <w:rsid w:val="00AA56D9"/>
    <w:rsid w:val="00AA68F0"/>
    <w:rsid w:val="00AB3972"/>
    <w:rsid w:val="00AE0A9D"/>
    <w:rsid w:val="00AE446A"/>
    <w:rsid w:val="00B10813"/>
    <w:rsid w:val="00B24CD1"/>
    <w:rsid w:val="00B25CE2"/>
    <w:rsid w:val="00B271D9"/>
    <w:rsid w:val="00B76D10"/>
    <w:rsid w:val="00B82AC2"/>
    <w:rsid w:val="00B82DE3"/>
    <w:rsid w:val="00B94B05"/>
    <w:rsid w:val="00BC2F2F"/>
    <w:rsid w:val="00C30D49"/>
    <w:rsid w:val="00C56F17"/>
    <w:rsid w:val="00C66BD9"/>
    <w:rsid w:val="00C730C4"/>
    <w:rsid w:val="00C852D0"/>
    <w:rsid w:val="00CA70AF"/>
    <w:rsid w:val="00CC3857"/>
    <w:rsid w:val="00CC6841"/>
    <w:rsid w:val="00CD0621"/>
    <w:rsid w:val="00CF2976"/>
    <w:rsid w:val="00D06C5A"/>
    <w:rsid w:val="00D11B4F"/>
    <w:rsid w:val="00D203C8"/>
    <w:rsid w:val="00D70A23"/>
    <w:rsid w:val="00D72BFC"/>
    <w:rsid w:val="00D76B9C"/>
    <w:rsid w:val="00DB6C46"/>
    <w:rsid w:val="00DE7165"/>
    <w:rsid w:val="00E02D0A"/>
    <w:rsid w:val="00E074B1"/>
    <w:rsid w:val="00E525EE"/>
    <w:rsid w:val="00E67D93"/>
    <w:rsid w:val="00EC3369"/>
    <w:rsid w:val="00EE0F2E"/>
    <w:rsid w:val="00F07F4F"/>
    <w:rsid w:val="00F5444C"/>
    <w:rsid w:val="00F610CD"/>
    <w:rsid w:val="00F6359D"/>
    <w:rsid w:val="00F7561F"/>
    <w:rsid w:val="00F91A16"/>
    <w:rsid w:val="00F96F2F"/>
    <w:rsid w:val="00FD2094"/>
    <w:rsid w:val="00FD4214"/>
    <w:rsid w:val="00FE62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77F93"/>
  <w15:chartTrackingRefBased/>
  <w15:docId w15:val="{5AEA3301-8171-475E-98DC-DCC9CB505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2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A6A8E"/>
    <w:rPr>
      <w:rFonts w:ascii="Times New Roman" w:hAnsi="Times New Roman"/>
    </w:rPr>
  </w:style>
  <w:style w:type="paragraph" w:styleId="Nagwek1">
    <w:name w:val="heading 1"/>
    <w:basedOn w:val="Normalny"/>
    <w:next w:val="Normalny"/>
    <w:link w:val="Nagwek1Znak"/>
    <w:uiPriority w:val="9"/>
    <w:qFormat/>
    <w:rsid w:val="009A6A8E"/>
    <w:pPr>
      <w:keepNext/>
      <w:keepLines/>
      <w:spacing w:before="360" w:after="80"/>
      <w:outlineLvl w:val="0"/>
    </w:pPr>
    <w:rPr>
      <w:rFonts w:eastAsiaTheme="majorEastAsia" w:cstheme="majorBidi"/>
      <w:color w:val="0F4761" w:themeColor="accent1" w:themeShade="BF"/>
      <w:szCs w:val="40"/>
    </w:rPr>
  </w:style>
  <w:style w:type="paragraph" w:styleId="Nagwek2">
    <w:name w:val="heading 2"/>
    <w:basedOn w:val="Normalny"/>
    <w:next w:val="Normalny"/>
    <w:link w:val="Nagwek2Znak"/>
    <w:uiPriority w:val="9"/>
    <w:unhideWhenUsed/>
    <w:qFormat/>
    <w:rsid w:val="00B82D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82DE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82DE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82DE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82DE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82DE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82DE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82DE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A6A8E"/>
    <w:rPr>
      <w:rFonts w:ascii="Times New Roman" w:eastAsiaTheme="majorEastAsia" w:hAnsi="Times New Roman" w:cstheme="majorBidi"/>
      <w:color w:val="0F4761" w:themeColor="accent1" w:themeShade="BF"/>
      <w:szCs w:val="40"/>
    </w:rPr>
  </w:style>
  <w:style w:type="character" w:customStyle="1" w:styleId="Nagwek2Znak">
    <w:name w:val="Nagłówek 2 Znak"/>
    <w:basedOn w:val="Domylnaczcionkaakapitu"/>
    <w:link w:val="Nagwek2"/>
    <w:uiPriority w:val="9"/>
    <w:rsid w:val="00B82DE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82DE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82DE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82DE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82DE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82DE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82DE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82DE3"/>
    <w:rPr>
      <w:rFonts w:eastAsiaTheme="majorEastAsia" w:cstheme="majorBidi"/>
      <w:color w:val="272727" w:themeColor="text1" w:themeTint="D8"/>
    </w:rPr>
  </w:style>
  <w:style w:type="paragraph" w:styleId="Tytu">
    <w:name w:val="Title"/>
    <w:basedOn w:val="Normalny"/>
    <w:next w:val="Normalny"/>
    <w:link w:val="TytuZnak"/>
    <w:uiPriority w:val="10"/>
    <w:qFormat/>
    <w:rsid w:val="00B82D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82DE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82DE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82DE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82DE3"/>
    <w:pPr>
      <w:spacing w:before="160"/>
      <w:jc w:val="center"/>
    </w:pPr>
    <w:rPr>
      <w:i/>
      <w:iCs/>
      <w:color w:val="404040" w:themeColor="text1" w:themeTint="BF"/>
    </w:rPr>
  </w:style>
  <w:style w:type="character" w:customStyle="1" w:styleId="CytatZnak">
    <w:name w:val="Cytat Znak"/>
    <w:basedOn w:val="Domylnaczcionkaakapitu"/>
    <w:link w:val="Cytat"/>
    <w:uiPriority w:val="29"/>
    <w:rsid w:val="00B82DE3"/>
    <w:rPr>
      <w:i/>
      <w:iCs/>
      <w:color w:val="404040" w:themeColor="text1" w:themeTint="BF"/>
    </w:rPr>
  </w:style>
  <w:style w:type="paragraph" w:styleId="Akapitzlist">
    <w:name w:val="List Paragraph"/>
    <w:basedOn w:val="Normalny"/>
    <w:uiPriority w:val="34"/>
    <w:qFormat/>
    <w:rsid w:val="00B82DE3"/>
    <w:pPr>
      <w:ind w:left="720"/>
      <w:contextualSpacing/>
    </w:pPr>
  </w:style>
  <w:style w:type="character" w:styleId="Wyrnienieintensywne">
    <w:name w:val="Intense Emphasis"/>
    <w:basedOn w:val="Domylnaczcionkaakapitu"/>
    <w:uiPriority w:val="21"/>
    <w:qFormat/>
    <w:rsid w:val="00B82DE3"/>
    <w:rPr>
      <w:i/>
      <w:iCs/>
      <w:color w:val="0F4761" w:themeColor="accent1" w:themeShade="BF"/>
    </w:rPr>
  </w:style>
  <w:style w:type="paragraph" w:styleId="Cytatintensywny">
    <w:name w:val="Intense Quote"/>
    <w:basedOn w:val="Normalny"/>
    <w:next w:val="Normalny"/>
    <w:link w:val="CytatintensywnyZnak"/>
    <w:uiPriority w:val="30"/>
    <w:qFormat/>
    <w:rsid w:val="00B82D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82DE3"/>
    <w:rPr>
      <w:i/>
      <w:iCs/>
      <w:color w:val="0F4761" w:themeColor="accent1" w:themeShade="BF"/>
    </w:rPr>
  </w:style>
  <w:style w:type="character" w:styleId="Odwoanieintensywne">
    <w:name w:val="Intense Reference"/>
    <w:basedOn w:val="Domylnaczcionkaakapitu"/>
    <w:uiPriority w:val="32"/>
    <w:qFormat/>
    <w:rsid w:val="00B82DE3"/>
    <w:rPr>
      <w:b/>
      <w:bCs/>
      <w:smallCaps/>
      <w:color w:val="0F4761" w:themeColor="accent1" w:themeShade="BF"/>
      <w:spacing w:val="5"/>
    </w:rPr>
  </w:style>
  <w:style w:type="paragraph" w:styleId="Nagwek">
    <w:name w:val="header"/>
    <w:basedOn w:val="Normalny"/>
    <w:link w:val="NagwekZnak"/>
    <w:uiPriority w:val="99"/>
    <w:unhideWhenUsed/>
    <w:rsid w:val="0034401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44018"/>
  </w:style>
  <w:style w:type="paragraph" w:styleId="Stopka">
    <w:name w:val="footer"/>
    <w:basedOn w:val="Normalny"/>
    <w:link w:val="StopkaZnak"/>
    <w:uiPriority w:val="99"/>
    <w:unhideWhenUsed/>
    <w:rsid w:val="0034401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44018"/>
  </w:style>
  <w:style w:type="paragraph" w:styleId="Nagwekspisutreci">
    <w:name w:val="TOC Heading"/>
    <w:basedOn w:val="Nagwek1"/>
    <w:next w:val="Normalny"/>
    <w:uiPriority w:val="39"/>
    <w:unhideWhenUsed/>
    <w:qFormat/>
    <w:rsid w:val="00344018"/>
    <w:pPr>
      <w:spacing w:before="240" w:after="0" w:line="259" w:lineRule="auto"/>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F07F4F"/>
    <w:pPr>
      <w:tabs>
        <w:tab w:val="left" w:pos="567"/>
        <w:tab w:val="right" w:leader="dot" w:pos="9062"/>
      </w:tabs>
      <w:spacing w:after="100"/>
    </w:pPr>
  </w:style>
  <w:style w:type="paragraph" w:styleId="Spistreci2">
    <w:name w:val="toc 2"/>
    <w:basedOn w:val="Normalny"/>
    <w:next w:val="Normalny"/>
    <w:autoRedefine/>
    <w:uiPriority w:val="39"/>
    <w:unhideWhenUsed/>
    <w:rsid w:val="00344018"/>
    <w:pPr>
      <w:spacing w:after="100"/>
      <w:ind w:left="240"/>
    </w:pPr>
  </w:style>
  <w:style w:type="character" w:styleId="Hipercze">
    <w:name w:val="Hyperlink"/>
    <w:basedOn w:val="Domylnaczcionkaakapitu"/>
    <w:uiPriority w:val="99"/>
    <w:unhideWhenUsed/>
    <w:rsid w:val="00344018"/>
    <w:rPr>
      <w:color w:val="467886" w:themeColor="hyperlink"/>
      <w:u w:val="single"/>
    </w:rPr>
  </w:style>
  <w:style w:type="character" w:customStyle="1" w:styleId="UnresolvedMention">
    <w:name w:val="Unresolved Mention"/>
    <w:basedOn w:val="Domylnaczcionkaakapitu"/>
    <w:uiPriority w:val="99"/>
    <w:semiHidden/>
    <w:unhideWhenUsed/>
    <w:rsid w:val="00A60D60"/>
    <w:rPr>
      <w:color w:val="605E5C"/>
      <w:shd w:val="clear" w:color="auto" w:fill="E1DFDD"/>
    </w:rPr>
  </w:style>
  <w:style w:type="paragraph" w:styleId="Spistreci3">
    <w:name w:val="toc 3"/>
    <w:basedOn w:val="Normalny"/>
    <w:next w:val="Normalny"/>
    <w:autoRedefine/>
    <w:uiPriority w:val="39"/>
    <w:unhideWhenUsed/>
    <w:rsid w:val="00A3586B"/>
    <w:pPr>
      <w:spacing w:after="100"/>
      <w:ind w:left="480"/>
    </w:pPr>
  </w:style>
  <w:style w:type="numbering" w:customStyle="1" w:styleId="Moduy">
    <w:name w:val="Moduły"/>
    <w:uiPriority w:val="99"/>
    <w:rsid w:val="003E20E5"/>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50D97-077F-4F3E-887A-13B6F4C4B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27</Pages>
  <Words>11963</Words>
  <Characters>71778</Characters>
  <Application>Microsoft Office Word</Application>
  <DocSecurity>0</DocSecurity>
  <Lines>598</Lines>
  <Paragraphs>167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Konto Microsoft</cp:lastModifiedBy>
  <cp:revision>33</cp:revision>
  <dcterms:created xsi:type="dcterms:W3CDTF">2024-08-06T05:49:00Z</dcterms:created>
  <dcterms:modified xsi:type="dcterms:W3CDTF">2025-09-26T05:18:00Z</dcterms:modified>
</cp:coreProperties>
</file>